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98453" w14:textId="77777777" w:rsidR="007838C5" w:rsidRDefault="007838C5" w:rsidP="007838C5">
      <w:pPr>
        <w:spacing w:before="72" w:line="244" w:lineRule="auto"/>
        <w:ind w:right="1331"/>
        <w:jc w:val="center"/>
        <w:rPr>
          <w:b/>
          <w:color w:val="333333"/>
        </w:rPr>
      </w:pPr>
      <w:r>
        <w:rPr>
          <w:b/>
        </w:rPr>
        <w:t xml:space="preserve">COMPENSATION COMMITTEE CHARTER </w:t>
      </w:r>
      <w:r w:rsidR="00537E6D">
        <w:rPr>
          <w:b/>
          <w:color w:val="333333"/>
        </w:rPr>
        <w:t>LITHOS ENERGY</w:t>
      </w:r>
      <w:r>
        <w:rPr>
          <w:b/>
          <w:color w:val="333333"/>
          <w:spacing w:val="-11"/>
        </w:rPr>
        <w:t xml:space="preserve"> </w:t>
      </w:r>
      <w:r>
        <w:rPr>
          <w:b/>
          <w:color w:val="333333"/>
        </w:rPr>
        <w:t xml:space="preserve">LTD. </w:t>
      </w:r>
    </w:p>
    <w:p w14:paraId="790803C3" w14:textId="6CCD3725" w:rsidR="00E8490C" w:rsidRDefault="007838C5" w:rsidP="007838C5">
      <w:pPr>
        <w:spacing w:before="72" w:line="244" w:lineRule="auto"/>
        <w:ind w:right="1331"/>
        <w:jc w:val="center"/>
        <w:rPr>
          <w:b/>
        </w:rPr>
      </w:pPr>
      <w:r>
        <w:rPr>
          <w:b/>
        </w:rPr>
        <w:t>(</w:t>
      </w:r>
      <w:r>
        <w:rPr>
          <w:b/>
        </w:rPr>
        <w:t>t</w:t>
      </w:r>
      <w:r>
        <w:rPr>
          <w:b/>
        </w:rPr>
        <w:t>h</w:t>
      </w:r>
      <w:r>
        <w:rPr>
          <w:b/>
        </w:rPr>
        <w:t>e</w:t>
      </w:r>
      <w:r>
        <w:rPr>
          <w:b/>
          <w:spacing w:val="-5"/>
        </w:rPr>
        <w:t xml:space="preserve"> </w:t>
      </w:r>
      <w:r>
        <w:rPr>
          <w:b/>
          <w:spacing w:val="-2"/>
        </w:rPr>
        <w:t>“Company”)</w:t>
      </w:r>
    </w:p>
    <w:p w14:paraId="790803C4" w14:textId="77777777" w:rsidR="00E8490C" w:rsidRDefault="00E8490C">
      <w:pPr>
        <w:pStyle w:val="BodyText"/>
        <w:spacing w:before="4"/>
        <w:rPr>
          <w:b/>
          <w:sz w:val="21"/>
        </w:rPr>
      </w:pPr>
    </w:p>
    <w:p w14:paraId="790803C5" w14:textId="43107E50" w:rsidR="00E8490C" w:rsidRDefault="007838C5">
      <w:pPr>
        <w:ind w:left="889" w:right="907"/>
        <w:jc w:val="center"/>
        <w:rPr>
          <w:b/>
        </w:rPr>
      </w:pPr>
      <w:r w:rsidRPr="00537E6D">
        <w:rPr>
          <w:b/>
          <w:color w:val="333333"/>
          <w:highlight w:val="yellow"/>
        </w:rPr>
        <w:t>As</w:t>
      </w:r>
      <w:r w:rsidRPr="00537E6D">
        <w:rPr>
          <w:b/>
          <w:color w:val="333333"/>
          <w:spacing w:val="-7"/>
          <w:highlight w:val="yellow"/>
        </w:rPr>
        <w:t xml:space="preserve"> </w:t>
      </w:r>
      <w:r w:rsidRPr="00537E6D">
        <w:rPr>
          <w:b/>
          <w:color w:val="333333"/>
          <w:highlight w:val="yellow"/>
        </w:rPr>
        <w:t>revised</w:t>
      </w:r>
      <w:r w:rsidRPr="00537E6D">
        <w:rPr>
          <w:b/>
          <w:color w:val="333333"/>
          <w:spacing w:val="-6"/>
          <w:highlight w:val="yellow"/>
        </w:rPr>
        <w:t xml:space="preserve"> </w:t>
      </w:r>
      <w:r w:rsidRPr="00537E6D">
        <w:rPr>
          <w:b/>
          <w:color w:val="333333"/>
          <w:highlight w:val="yellow"/>
        </w:rPr>
        <w:t>and</w:t>
      </w:r>
      <w:r w:rsidRPr="00537E6D">
        <w:rPr>
          <w:b/>
          <w:color w:val="333333"/>
          <w:spacing w:val="-6"/>
          <w:highlight w:val="yellow"/>
        </w:rPr>
        <w:t xml:space="preserve"> </w:t>
      </w:r>
      <w:r w:rsidRPr="00537E6D">
        <w:rPr>
          <w:b/>
          <w:color w:val="333333"/>
          <w:highlight w:val="yellow"/>
        </w:rPr>
        <w:t>adopted</w:t>
      </w:r>
      <w:r w:rsidRPr="00537E6D">
        <w:rPr>
          <w:b/>
          <w:color w:val="333333"/>
          <w:spacing w:val="-6"/>
          <w:highlight w:val="yellow"/>
        </w:rPr>
        <w:t xml:space="preserve"> </w:t>
      </w:r>
      <w:r w:rsidRPr="00537E6D">
        <w:rPr>
          <w:b/>
          <w:color w:val="333333"/>
          <w:highlight w:val="yellow"/>
        </w:rPr>
        <w:t>by</w:t>
      </w:r>
      <w:r w:rsidRPr="00537E6D">
        <w:rPr>
          <w:b/>
          <w:color w:val="333333"/>
          <w:spacing w:val="-5"/>
          <w:highlight w:val="yellow"/>
        </w:rPr>
        <w:t xml:space="preserve"> </w:t>
      </w:r>
      <w:r w:rsidRPr="00537E6D">
        <w:rPr>
          <w:b/>
          <w:color w:val="333333"/>
          <w:highlight w:val="yellow"/>
        </w:rPr>
        <w:t>the</w:t>
      </w:r>
      <w:r w:rsidRPr="00537E6D">
        <w:rPr>
          <w:b/>
          <w:color w:val="333333"/>
          <w:spacing w:val="-5"/>
          <w:highlight w:val="yellow"/>
        </w:rPr>
        <w:t xml:space="preserve"> </w:t>
      </w:r>
      <w:r w:rsidRPr="00537E6D">
        <w:rPr>
          <w:b/>
          <w:color w:val="333333"/>
          <w:highlight w:val="yellow"/>
        </w:rPr>
        <w:t>Board</w:t>
      </w:r>
      <w:r w:rsidRPr="00537E6D">
        <w:rPr>
          <w:b/>
          <w:color w:val="333333"/>
          <w:spacing w:val="-6"/>
          <w:highlight w:val="yellow"/>
        </w:rPr>
        <w:t xml:space="preserve"> </w:t>
      </w:r>
      <w:r w:rsidRPr="00537E6D">
        <w:rPr>
          <w:b/>
          <w:color w:val="333333"/>
          <w:highlight w:val="yellow"/>
        </w:rPr>
        <w:t>of</w:t>
      </w:r>
      <w:r w:rsidRPr="00537E6D">
        <w:rPr>
          <w:b/>
          <w:color w:val="333333"/>
          <w:spacing w:val="-6"/>
          <w:highlight w:val="yellow"/>
        </w:rPr>
        <w:t xml:space="preserve"> </w:t>
      </w:r>
      <w:r w:rsidRPr="00537E6D">
        <w:rPr>
          <w:b/>
          <w:color w:val="333333"/>
          <w:highlight w:val="yellow"/>
        </w:rPr>
        <w:t>Directors</w:t>
      </w:r>
      <w:r w:rsidRPr="00537E6D">
        <w:rPr>
          <w:b/>
          <w:color w:val="333333"/>
          <w:spacing w:val="-7"/>
          <w:highlight w:val="yellow"/>
        </w:rPr>
        <w:t xml:space="preserve"> </w:t>
      </w:r>
      <w:r w:rsidRPr="00537E6D">
        <w:rPr>
          <w:b/>
          <w:color w:val="333333"/>
          <w:highlight w:val="yellow"/>
        </w:rPr>
        <w:t>(the</w:t>
      </w:r>
      <w:r w:rsidRPr="00537E6D">
        <w:rPr>
          <w:b/>
          <w:color w:val="333333"/>
          <w:spacing w:val="-6"/>
          <w:highlight w:val="yellow"/>
        </w:rPr>
        <w:t xml:space="preserve"> </w:t>
      </w:r>
      <w:r w:rsidRPr="00537E6D">
        <w:rPr>
          <w:b/>
          <w:color w:val="333333"/>
          <w:highlight w:val="yellow"/>
        </w:rPr>
        <w:t>“Board”)</w:t>
      </w:r>
      <w:r w:rsidRPr="00537E6D">
        <w:rPr>
          <w:b/>
          <w:color w:val="333333"/>
          <w:spacing w:val="-4"/>
          <w:highlight w:val="yellow"/>
        </w:rPr>
        <w:t xml:space="preserve"> </w:t>
      </w:r>
      <w:proofErr w:type="gramStart"/>
      <w:r w:rsidRPr="00537E6D">
        <w:rPr>
          <w:b/>
          <w:color w:val="333333"/>
          <w:highlight w:val="yellow"/>
        </w:rPr>
        <w:t>on</w:t>
      </w:r>
      <w:proofErr w:type="gramEnd"/>
      <w:r w:rsidRPr="00537E6D">
        <w:rPr>
          <w:b/>
          <w:color w:val="333333"/>
          <w:spacing w:val="-5"/>
          <w:highlight w:val="yellow"/>
        </w:rPr>
        <w:t xml:space="preserve"> </w:t>
      </w:r>
      <w:r w:rsidR="00537E6D" w:rsidRPr="00537E6D">
        <w:rPr>
          <w:b/>
          <w:color w:val="333333"/>
          <w:highlight w:val="yellow"/>
        </w:rPr>
        <w:t>August ___</w:t>
      </w:r>
      <w:r w:rsidRPr="00537E6D">
        <w:rPr>
          <w:b/>
          <w:color w:val="333333"/>
          <w:spacing w:val="-4"/>
          <w:highlight w:val="yellow"/>
        </w:rPr>
        <w:t>2023</w:t>
      </w:r>
    </w:p>
    <w:p w14:paraId="790803C6" w14:textId="77777777" w:rsidR="00E8490C" w:rsidRDefault="00E8490C">
      <w:pPr>
        <w:pStyle w:val="BodyText"/>
        <w:spacing w:before="4"/>
        <w:rPr>
          <w:b/>
          <w:sz w:val="21"/>
        </w:rPr>
      </w:pPr>
    </w:p>
    <w:p w14:paraId="790803C7" w14:textId="77777777" w:rsidR="00E8490C" w:rsidRDefault="007838C5">
      <w:pPr>
        <w:pStyle w:val="ListParagraph"/>
        <w:numPr>
          <w:ilvl w:val="0"/>
          <w:numId w:val="2"/>
        </w:numPr>
        <w:tabs>
          <w:tab w:val="left" w:pos="820"/>
        </w:tabs>
        <w:ind w:right="0" w:hanging="720"/>
        <w:rPr>
          <w:b/>
        </w:rPr>
      </w:pPr>
      <w:r>
        <w:rPr>
          <w:b/>
          <w:color w:val="333333"/>
          <w:spacing w:val="-2"/>
        </w:rPr>
        <w:t>Purpose</w:t>
      </w:r>
    </w:p>
    <w:p w14:paraId="790803C8" w14:textId="77777777" w:rsidR="00E8490C" w:rsidRDefault="00E8490C">
      <w:pPr>
        <w:pStyle w:val="BodyText"/>
        <w:spacing w:before="10"/>
        <w:rPr>
          <w:b/>
          <w:sz w:val="20"/>
        </w:rPr>
      </w:pPr>
    </w:p>
    <w:p w14:paraId="790803C9" w14:textId="77777777" w:rsidR="00E8490C" w:rsidRDefault="007838C5">
      <w:pPr>
        <w:pStyle w:val="BodyText"/>
        <w:ind w:left="100" w:right="117"/>
        <w:jc w:val="both"/>
      </w:pPr>
      <w:r>
        <w:t xml:space="preserve">The primary purposes of the Compensation Committee (the “Committee”) of the Board are to (a) </w:t>
      </w:r>
      <w:r>
        <w:t>make recommendations to the Board regarding corporate goals and objectives relevant to the compensation of the Company’s Chief Executive Officer (“CEO”) and other senior executive officers</w:t>
      </w:r>
      <w:r>
        <w:rPr>
          <w:spacing w:val="-1"/>
        </w:rPr>
        <w:t xml:space="preserve"> </w:t>
      </w:r>
      <w:r>
        <w:t xml:space="preserve">of the Company (the “Senior Officers”), evaluate the </w:t>
      </w:r>
      <w:r>
        <w:t>performance of the CEO and other Senior Officers in light of those goals and objectives and make recommendations to the Board with respect to the compensation level of the CEO and other Senior Officers; (b) make recommendations to the Board with respect to</w:t>
      </w:r>
      <w:r>
        <w:t xml:space="preserve"> the grant of options under the Company’s Share Option Plan, as amended from time to time or other grants under equity-based</w:t>
      </w:r>
      <w:r>
        <w:rPr>
          <w:spacing w:val="-1"/>
        </w:rPr>
        <w:t xml:space="preserve"> </w:t>
      </w:r>
      <w:r>
        <w:t>plans;</w:t>
      </w:r>
      <w:r>
        <w:rPr>
          <w:spacing w:val="-2"/>
        </w:rPr>
        <w:t xml:space="preserve"> </w:t>
      </w:r>
      <w:r>
        <w:t>(c)</w:t>
      </w:r>
      <w:r>
        <w:rPr>
          <w:spacing w:val="-2"/>
        </w:rPr>
        <w:t xml:space="preserve"> </w:t>
      </w:r>
      <w:r>
        <w:t>recommend</w:t>
      </w:r>
      <w:r>
        <w:rPr>
          <w:spacing w:val="-2"/>
        </w:rPr>
        <w:t xml:space="preserve"> </w:t>
      </w:r>
      <w:r>
        <w:t>to</w:t>
      </w:r>
      <w:r>
        <w:rPr>
          <w:spacing w:val="-2"/>
        </w:rPr>
        <w:t xml:space="preserve"> </w:t>
      </w:r>
      <w:r>
        <w:t>the</w:t>
      </w:r>
      <w:r>
        <w:rPr>
          <w:spacing w:val="-2"/>
        </w:rPr>
        <w:t xml:space="preserve"> </w:t>
      </w:r>
      <w:r>
        <w:t>Board</w:t>
      </w:r>
      <w:r>
        <w:rPr>
          <w:spacing w:val="-2"/>
        </w:rPr>
        <w:t xml:space="preserve"> </w:t>
      </w:r>
      <w:r>
        <w:t>the</w:t>
      </w:r>
      <w:r>
        <w:rPr>
          <w:spacing w:val="-2"/>
        </w:rPr>
        <w:t xml:space="preserve"> </w:t>
      </w:r>
      <w:r>
        <w:t>cash</w:t>
      </w:r>
      <w:r>
        <w:rPr>
          <w:spacing w:val="-2"/>
        </w:rPr>
        <w:t xml:space="preserve"> </w:t>
      </w:r>
      <w:r>
        <w:t>and</w:t>
      </w:r>
      <w:r>
        <w:rPr>
          <w:spacing w:val="-2"/>
        </w:rPr>
        <w:t xml:space="preserve"> </w:t>
      </w:r>
      <w:r>
        <w:t>non-cash</w:t>
      </w:r>
      <w:r>
        <w:rPr>
          <w:spacing w:val="-2"/>
        </w:rPr>
        <w:t xml:space="preserve"> </w:t>
      </w:r>
      <w:r>
        <w:t>compensation</w:t>
      </w:r>
      <w:r>
        <w:rPr>
          <w:spacing w:val="-2"/>
        </w:rPr>
        <w:t xml:space="preserve"> </w:t>
      </w:r>
      <w:r>
        <w:t>policies</w:t>
      </w:r>
      <w:r>
        <w:rPr>
          <w:spacing w:val="-2"/>
        </w:rPr>
        <w:t xml:space="preserve"> </w:t>
      </w:r>
      <w:r>
        <w:t>for</w:t>
      </w:r>
      <w:r>
        <w:rPr>
          <w:spacing w:val="-2"/>
        </w:rPr>
        <w:t xml:space="preserve"> </w:t>
      </w:r>
      <w:r>
        <w:t>the</w:t>
      </w:r>
      <w:r>
        <w:rPr>
          <w:spacing w:val="-2"/>
        </w:rPr>
        <w:t xml:space="preserve"> </w:t>
      </w:r>
      <w:r>
        <w:t>non- employee directors; (d) make recommendat</w:t>
      </w:r>
      <w:r>
        <w:t>ions to the Board with respect to amendments to the Company’s Share Option Plan or other equity-based plans or implementing other equity-based plans; (e) assist the Board in evaluating potential candidates for Senior Officer positions with the Company; (f)</w:t>
      </w:r>
      <w:r>
        <w:t xml:space="preserve"> review, discuss with management and approve the Company’s disclosures regarding compensation for</w:t>
      </w:r>
      <w:r>
        <w:rPr>
          <w:spacing w:val="40"/>
        </w:rPr>
        <w:t xml:space="preserve"> </w:t>
      </w:r>
      <w:r>
        <w:t>use in any of the Company’s public disclosure documents, including annual reports, including on Form 10-K, Form 20-F or Form 40-F, as applicable, as and to th</w:t>
      </w:r>
      <w:r>
        <w:t>e extent required by the U.S. Securities and Exchange Commission (the</w:t>
      </w:r>
      <w:r>
        <w:rPr>
          <w:spacing w:val="-2"/>
        </w:rPr>
        <w:t xml:space="preserve"> </w:t>
      </w:r>
      <w:r>
        <w:t>“SEC”), annual information forms, registration statements, information circulars,</w:t>
      </w:r>
      <w:r>
        <w:rPr>
          <w:spacing w:val="-2"/>
        </w:rPr>
        <w:t xml:space="preserve"> </w:t>
      </w:r>
      <w:r>
        <w:t>proxy</w:t>
      </w:r>
      <w:r>
        <w:rPr>
          <w:spacing w:val="-1"/>
        </w:rPr>
        <w:t xml:space="preserve"> </w:t>
      </w:r>
      <w:r>
        <w:t>statements or</w:t>
      </w:r>
      <w:r>
        <w:rPr>
          <w:spacing w:val="-2"/>
        </w:rPr>
        <w:t xml:space="preserve"> </w:t>
      </w:r>
      <w:r>
        <w:t>similar</w:t>
      </w:r>
      <w:r>
        <w:rPr>
          <w:spacing w:val="-2"/>
        </w:rPr>
        <w:t xml:space="preserve"> </w:t>
      </w:r>
      <w:r>
        <w:t>information</w:t>
      </w:r>
      <w:r>
        <w:rPr>
          <w:spacing w:val="-1"/>
        </w:rPr>
        <w:t xml:space="preserve"> </w:t>
      </w:r>
      <w:r>
        <w:t>statements and</w:t>
      </w:r>
      <w:r>
        <w:rPr>
          <w:spacing w:val="-2"/>
        </w:rPr>
        <w:t xml:space="preserve"> </w:t>
      </w:r>
      <w:r>
        <w:t>otherwise</w:t>
      </w:r>
      <w:r>
        <w:rPr>
          <w:spacing w:val="-2"/>
        </w:rPr>
        <w:t xml:space="preserve"> </w:t>
      </w:r>
      <w:r>
        <w:t>as</w:t>
      </w:r>
      <w:r>
        <w:rPr>
          <w:spacing w:val="-3"/>
        </w:rPr>
        <w:t xml:space="preserve"> </w:t>
      </w:r>
      <w:r>
        <w:t>required</w:t>
      </w:r>
      <w:r>
        <w:rPr>
          <w:spacing w:val="-2"/>
        </w:rPr>
        <w:t xml:space="preserve"> </w:t>
      </w:r>
      <w:r>
        <w:t>under</w:t>
      </w:r>
      <w:r>
        <w:rPr>
          <w:spacing w:val="-2"/>
        </w:rPr>
        <w:t xml:space="preserve"> </w:t>
      </w:r>
      <w:r>
        <w:t>Canadian or United St</w:t>
      </w:r>
      <w:r>
        <w:t>ates securities laws and prepare and review the statement of executive compensation included the Company’s information circular and proxy statement with respect to its annual meeting in accordance with applicable securities laws, rules and regulations in e</w:t>
      </w:r>
      <w:r>
        <w:t xml:space="preserve">ffect from time to time; and (g) produce a compensation committee report on executive officer compensation as required by applicable securities </w:t>
      </w:r>
      <w:r>
        <w:rPr>
          <w:spacing w:val="-2"/>
        </w:rPr>
        <w:t>laws.</w:t>
      </w:r>
    </w:p>
    <w:p w14:paraId="790803CA" w14:textId="77777777" w:rsidR="00E8490C" w:rsidRDefault="00E8490C">
      <w:pPr>
        <w:pStyle w:val="BodyText"/>
        <w:spacing w:before="10"/>
        <w:rPr>
          <w:sz w:val="23"/>
        </w:rPr>
      </w:pPr>
    </w:p>
    <w:p w14:paraId="790803CB" w14:textId="77777777" w:rsidR="00E8490C" w:rsidRDefault="007838C5">
      <w:pPr>
        <w:pStyle w:val="ListParagraph"/>
        <w:numPr>
          <w:ilvl w:val="0"/>
          <w:numId w:val="2"/>
        </w:numPr>
        <w:tabs>
          <w:tab w:val="left" w:pos="820"/>
        </w:tabs>
        <w:spacing w:before="1"/>
        <w:ind w:right="0" w:hanging="720"/>
        <w:rPr>
          <w:b/>
        </w:rPr>
      </w:pPr>
      <w:r>
        <w:rPr>
          <w:b/>
          <w:color w:val="333333"/>
          <w:spacing w:val="-2"/>
        </w:rPr>
        <w:t>Composition</w:t>
      </w:r>
    </w:p>
    <w:p w14:paraId="790803CC" w14:textId="77777777" w:rsidR="00E8490C" w:rsidRDefault="00E8490C">
      <w:pPr>
        <w:pStyle w:val="BodyText"/>
        <w:spacing w:before="10"/>
        <w:rPr>
          <w:b/>
          <w:sz w:val="20"/>
        </w:rPr>
      </w:pPr>
    </w:p>
    <w:p w14:paraId="790803CD" w14:textId="77777777" w:rsidR="00E8490C" w:rsidRDefault="007838C5">
      <w:pPr>
        <w:pStyle w:val="ListParagraph"/>
        <w:numPr>
          <w:ilvl w:val="1"/>
          <w:numId w:val="2"/>
        </w:numPr>
        <w:tabs>
          <w:tab w:val="left" w:pos="1539"/>
        </w:tabs>
        <w:ind w:right="118" w:firstLine="720"/>
        <w:jc w:val="both"/>
      </w:pPr>
      <w:r>
        <w:rPr>
          <w:u w:val="single"/>
        </w:rPr>
        <w:t>At Least Two Members</w:t>
      </w:r>
      <w:r>
        <w:t>.</w:t>
      </w:r>
      <w:r>
        <w:rPr>
          <w:spacing w:val="40"/>
        </w:rPr>
        <w:t xml:space="preserve"> </w:t>
      </w:r>
      <w:r>
        <w:t>The Committee shall consist of a minimum of two unrelated or independe</w:t>
      </w:r>
      <w:r>
        <w:t>nt directors as defined in Section 2(b) below. The Board shall designate a Committee member as</w:t>
      </w:r>
      <w:r>
        <w:rPr>
          <w:spacing w:val="-1"/>
        </w:rPr>
        <w:t xml:space="preserve"> </w:t>
      </w:r>
      <w:r>
        <w:t>the Chair of the Committee on an</w:t>
      </w:r>
      <w:r>
        <w:rPr>
          <w:spacing w:val="-1"/>
        </w:rPr>
        <w:t xml:space="preserve"> </w:t>
      </w:r>
      <w:r>
        <w:t>annual</w:t>
      </w:r>
      <w:r>
        <w:rPr>
          <w:spacing w:val="-1"/>
        </w:rPr>
        <w:t xml:space="preserve"> </w:t>
      </w:r>
      <w:r>
        <w:t>basis,</w:t>
      </w:r>
      <w:r>
        <w:rPr>
          <w:spacing w:val="-1"/>
        </w:rPr>
        <w:t xml:space="preserve"> </w:t>
      </w:r>
      <w:r>
        <w:t>or</w:t>
      </w:r>
      <w:r>
        <w:rPr>
          <w:spacing w:val="-1"/>
        </w:rPr>
        <w:t xml:space="preserve"> </w:t>
      </w:r>
      <w:r>
        <w:t>if</w:t>
      </w:r>
      <w:r>
        <w:rPr>
          <w:spacing w:val="-1"/>
        </w:rPr>
        <w:t xml:space="preserve"> </w:t>
      </w:r>
      <w:r>
        <w:t>the</w:t>
      </w:r>
      <w:r>
        <w:rPr>
          <w:spacing w:val="-1"/>
        </w:rPr>
        <w:t xml:space="preserve"> </w:t>
      </w:r>
      <w:r>
        <w:t>Board</w:t>
      </w:r>
      <w:r>
        <w:rPr>
          <w:spacing w:val="-1"/>
        </w:rPr>
        <w:t xml:space="preserve"> </w:t>
      </w:r>
      <w:r>
        <w:t>does</w:t>
      </w:r>
      <w:r>
        <w:rPr>
          <w:spacing w:val="-2"/>
        </w:rPr>
        <w:t xml:space="preserve"> </w:t>
      </w:r>
      <w:r>
        <w:t>not</w:t>
      </w:r>
      <w:r>
        <w:rPr>
          <w:spacing w:val="-1"/>
        </w:rPr>
        <w:t xml:space="preserve"> </w:t>
      </w:r>
      <w:r>
        <w:t>do so,</w:t>
      </w:r>
      <w:r>
        <w:rPr>
          <w:spacing w:val="-1"/>
        </w:rPr>
        <w:t xml:space="preserve"> </w:t>
      </w:r>
      <w:r>
        <w:t>the</w:t>
      </w:r>
      <w:r>
        <w:rPr>
          <w:spacing w:val="-1"/>
        </w:rPr>
        <w:t xml:space="preserve"> </w:t>
      </w:r>
      <w:r>
        <w:t>Committee</w:t>
      </w:r>
      <w:r>
        <w:rPr>
          <w:spacing w:val="-1"/>
        </w:rPr>
        <w:t xml:space="preserve"> </w:t>
      </w:r>
      <w:r>
        <w:t xml:space="preserve">members shall appoint a Committee member as Chair by a majority vote of the authorized number of Committee </w:t>
      </w:r>
      <w:r>
        <w:rPr>
          <w:spacing w:val="-2"/>
        </w:rPr>
        <w:t>members.</w:t>
      </w:r>
    </w:p>
    <w:p w14:paraId="790803CE" w14:textId="77777777" w:rsidR="00E8490C" w:rsidRDefault="007838C5">
      <w:pPr>
        <w:pStyle w:val="ListParagraph"/>
        <w:numPr>
          <w:ilvl w:val="1"/>
          <w:numId w:val="2"/>
        </w:numPr>
        <w:tabs>
          <w:tab w:val="left" w:pos="1539"/>
        </w:tabs>
        <w:spacing w:before="106"/>
        <w:ind w:firstLine="720"/>
        <w:jc w:val="both"/>
      </w:pPr>
      <w:r>
        <w:rPr>
          <w:u w:val="single"/>
        </w:rPr>
        <w:t>Independence</w:t>
      </w:r>
      <w:r>
        <w:t>.</w:t>
      </w:r>
      <w:r>
        <w:rPr>
          <w:spacing w:val="40"/>
        </w:rPr>
        <w:t xml:space="preserve"> </w:t>
      </w:r>
      <w:r>
        <w:t xml:space="preserve">At least two members of the Committee shall be “unrelated” or “independent” as determined by the Board, applicable securities </w:t>
      </w:r>
      <w:r>
        <w:t>laws, the rules and regulations of the applicable securities regulatory authority and stock exchanges and any other laws applicable to the Company,</w:t>
      </w:r>
      <w:r>
        <w:rPr>
          <w:spacing w:val="-2"/>
        </w:rPr>
        <w:t xml:space="preserve"> </w:t>
      </w:r>
      <w:r>
        <w:t>including “independent”</w:t>
      </w:r>
      <w:r>
        <w:rPr>
          <w:spacing w:val="-2"/>
        </w:rPr>
        <w:t xml:space="preserve"> </w:t>
      </w:r>
      <w:r>
        <w:t>within</w:t>
      </w:r>
      <w:r>
        <w:rPr>
          <w:spacing w:val="-2"/>
        </w:rPr>
        <w:t xml:space="preserve"> </w:t>
      </w:r>
      <w:r>
        <w:t>the</w:t>
      </w:r>
      <w:r>
        <w:rPr>
          <w:spacing w:val="-4"/>
        </w:rPr>
        <w:t xml:space="preserve"> </w:t>
      </w:r>
      <w:r>
        <w:t>meaning</w:t>
      </w:r>
      <w:r>
        <w:rPr>
          <w:spacing w:val="-3"/>
        </w:rPr>
        <w:t xml:space="preserve"> </w:t>
      </w:r>
      <w:r>
        <w:t>of</w:t>
      </w:r>
      <w:r>
        <w:rPr>
          <w:spacing w:val="-3"/>
        </w:rPr>
        <w:t xml:space="preserve"> </w:t>
      </w:r>
      <w:r>
        <w:t>National</w:t>
      </w:r>
      <w:r>
        <w:rPr>
          <w:spacing w:val="-3"/>
        </w:rPr>
        <w:t xml:space="preserve"> </w:t>
      </w:r>
      <w:r>
        <w:t>Instrument 52-110</w:t>
      </w:r>
      <w:r>
        <w:rPr>
          <w:spacing w:val="-3"/>
        </w:rPr>
        <w:t xml:space="preserve"> </w:t>
      </w:r>
      <w:r>
        <w:t>Audit</w:t>
      </w:r>
      <w:r>
        <w:rPr>
          <w:spacing w:val="-3"/>
        </w:rPr>
        <w:t xml:space="preserve"> </w:t>
      </w:r>
      <w:r>
        <w:t>Committees, Nasdaq Listing Ru</w:t>
      </w:r>
      <w:r>
        <w:t>le 5605(a)(2) and Section 803A of the NYSE American LLC Company Guide (the “Company Guide”), subject to any exceptions permitted by such requirements.</w:t>
      </w:r>
      <w:r>
        <w:rPr>
          <w:spacing w:val="40"/>
        </w:rPr>
        <w:t xml:space="preserve"> </w:t>
      </w:r>
      <w:r>
        <w:t>In addition, in affirmatively determining the independence of any director who will serve on the Committe</w:t>
      </w:r>
      <w:r>
        <w:t>e, the Board must consider all factors specifically relevant to determining whether a director has a relationship to the Company that is material to that director's ability to be independent from</w:t>
      </w:r>
      <w:r>
        <w:rPr>
          <w:spacing w:val="-1"/>
        </w:rPr>
        <w:t xml:space="preserve"> </w:t>
      </w:r>
      <w:r>
        <w:t>management in connection with the duties of a Committee memb</w:t>
      </w:r>
      <w:r>
        <w:t>er, including, but not limited to:</w:t>
      </w:r>
      <w:r>
        <w:rPr>
          <w:spacing w:val="40"/>
        </w:rPr>
        <w:t xml:space="preserve"> </w:t>
      </w:r>
      <w:r>
        <w:t>(</w:t>
      </w:r>
      <w:proofErr w:type="spellStart"/>
      <w:r>
        <w:t>i</w:t>
      </w:r>
      <w:proofErr w:type="spellEnd"/>
      <w:r>
        <w:t>)</w:t>
      </w:r>
      <w:r>
        <w:rPr>
          <w:spacing w:val="-3"/>
        </w:rPr>
        <w:t xml:space="preserve"> </w:t>
      </w:r>
      <w:r>
        <w:t>the source of compensation of such director,</w:t>
      </w:r>
      <w:r>
        <w:rPr>
          <w:spacing w:val="32"/>
        </w:rPr>
        <w:t xml:space="preserve"> </w:t>
      </w:r>
      <w:r>
        <w:t>including</w:t>
      </w:r>
      <w:r>
        <w:rPr>
          <w:spacing w:val="32"/>
        </w:rPr>
        <w:t xml:space="preserve"> </w:t>
      </w:r>
      <w:r>
        <w:t>any</w:t>
      </w:r>
      <w:r>
        <w:rPr>
          <w:spacing w:val="34"/>
        </w:rPr>
        <w:t xml:space="preserve"> </w:t>
      </w:r>
      <w:r>
        <w:t>consulting,</w:t>
      </w:r>
      <w:r>
        <w:rPr>
          <w:spacing w:val="32"/>
        </w:rPr>
        <w:t xml:space="preserve"> </w:t>
      </w:r>
      <w:r>
        <w:t>advisory</w:t>
      </w:r>
      <w:r>
        <w:rPr>
          <w:spacing w:val="34"/>
        </w:rPr>
        <w:t xml:space="preserve"> </w:t>
      </w:r>
      <w:r>
        <w:t>or</w:t>
      </w:r>
      <w:r>
        <w:rPr>
          <w:spacing w:val="31"/>
        </w:rPr>
        <w:t xml:space="preserve"> </w:t>
      </w:r>
      <w:r>
        <w:t>other</w:t>
      </w:r>
      <w:r>
        <w:rPr>
          <w:spacing w:val="37"/>
        </w:rPr>
        <w:t xml:space="preserve"> </w:t>
      </w:r>
      <w:r>
        <w:t>compensatory</w:t>
      </w:r>
      <w:r>
        <w:rPr>
          <w:spacing w:val="33"/>
        </w:rPr>
        <w:t xml:space="preserve"> </w:t>
      </w:r>
      <w:r>
        <w:t>fee</w:t>
      </w:r>
      <w:r>
        <w:rPr>
          <w:spacing w:val="31"/>
        </w:rPr>
        <w:t xml:space="preserve"> </w:t>
      </w:r>
      <w:r>
        <w:t>paid</w:t>
      </w:r>
      <w:r>
        <w:rPr>
          <w:spacing w:val="32"/>
        </w:rPr>
        <w:t xml:space="preserve"> </w:t>
      </w:r>
      <w:r>
        <w:t>by</w:t>
      </w:r>
      <w:r>
        <w:rPr>
          <w:spacing w:val="33"/>
        </w:rPr>
        <w:t xml:space="preserve"> </w:t>
      </w:r>
      <w:r>
        <w:t>the</w:t>
      </w:r>
      <w:r>
        <w:rPr>
          <w:spacing w:val="30"/>
        </w:rPr>
        <w:t xml:space="preserve"> </w:t>
      </w:r>
      <w:r>
        <w:t>Company</w:t>
      </w:r>
      <w:r>
        <w:rPr>
          <w:spacing w:val="33"/>
        </w:rPr>
        <w:t xml:space="preserve"> </w:t>
      </w:r>
      <w:r>
        <w:t>to</w:t>
      </w:r>
      <w:r>
        <w:rPr>
          <w:spacing w:val="31"/>
        </w:rPr>
        <w:t xml:space="preserve"> </w:t>
      </w:r>
      <w:r>
        <w:rPr>
          <w:spacing w:val="-4"/>
        </w:rPr>
        <w:t>such</w:t>
      </w:r>
    </w:p>
    <w:p w14:paraId="790803CF" w14:textId="77777777" w:rsidR="00E8490C" w:rsidRDefault="00E8490C">
      <w:pPr>
        <w:jc w:val="both"/>
        <w:sectPr w:rsidR="00E8490C">
          <w:footerReference w:type="default" r:id="rId7"/>
          <w:type w:val="continuous"/>
          <w:pgSz w:w="12240" w:h="15840"/>
          <w:pgMar w:top="1660" w:right="1320" w:bottom="880" w:left="1340" w:header="0" w:footer="699" w:gutter="0"/>
          <w:pgNumType w:start="1"/>
          <w:cols w:space="720"/>
        </w:sectPr>
      </w:pPr>
    </w:p>
    <w:p w14:paraId="790803D0" w14:textId="77777777" w:rsidR="00E8490C" w:rsidRDefault="007838C5">
      <w:pPr>
        <w:pStyle w:val="BodyText"/>
        <w:spacing w:before="68"/>
        <w:ind w:left="100"/>
      </w:pPr>
      <w:proofErr w:type="gramStart"/>
      <w:r>
        <w:lastRenderedPageBreak/>
        <w:t>director;</w:t>
      </w:r>
      <w:proofErr w:type="gramEnd"/>
      <w:r>
        <w:t xml:space="preserve"> and (ii)</w:t>
      </w:r>
      <w:r>
        <w:rPr>
          <w:spacing w:val="-3"/>
        </w:rPr>
        <w:t xml:space="preserve"> </w:t>
      </w:r>
      <w:r>
        <w:t>whether such director is affiliated with the Company, a subsidiary of the Company or an affiliate of a subsidiary of the Company.</w:t>
      </w:r>
    </w:p>
    <w:p w14:paraId="790803D1" w14:textId="77777777" w:rsidR="00E8490C" w:rsidRDefault="007838C5">
      <w:pPr>
        <w:pStyle w:val="BodyText"/>
        <w:spacing w:before="202"/>
        <w:ind w:left="100" w:right="119" w:firstLine="720"/>
        <w:jc w:val="both"/>
      </w:pPr>
      <w:r>
        <w:t>In addition, all Committee members shall</w:t>
      </w:r>
      <w:r>
        <w:rPr>
          <w:spacing w:val="-1"/>
        </w:rPr>
        <w:t xml:space="preserve"> </w:t>
      </w:r>
      <w:r>
        <w:t>satisfy the</w:t>
      </w:r>
      <w:r>
        <w:rPr>
          <w:spacing w:val="-1"/>
        </w:rPr>
        <w:t xml:space="preserve"> </w:t>
      </w:r>
      <w:r>
        <w:t>“non-employee</w:t>
      </w:r>
      <w:r>
        <w:rPr>
          <w:spacing w:val="-1"/>
        </w:rPr>
        <w:t xml:space="preserve"> </w:t>
      </w:r>
      <w:r>
        <w:t>director”</w:t>
      </w:r>
      <w:r>
        <w:rPr>
          <w:spacing w:val="-1"/>
        </w:rPr>
        <w:t xml:space="preserve"> </w:t>
      </w:r>
      <w:r>
        <w:t>standard</w:t>
      </w:r>
      <w:r>
        <w:rPr>
          <w:spacing w:val="-1"/>
        </w:rPr>
        <w:t xml:space="preserve"> </w:t>
      </w:r>
      <w:r>
        <w:t>within the meaning of Rule 16b</w:t>
      </w:r>
      <w:r>
        <w:t>-3 promulgated under the United States Securities Exchange Act of 1934, as amended from time to time (the “Exchange Act”), and the “outside director” standard within the meaning of Section 162(m)</w:t>
      </w:r>
      <w:r>
        <w:rPr>
          <w:spacing w:val="-1"/>
        </w:rPr>
        <w:t xml:space="preserve"> </w:t>
      </w:r>
      <w:r>
        <w:t>of</w:t>
      </w:r>
      <w:r>
        <w:rPr>
          <w:spacing w:val="-1"/>
        </w:rPr>
        <w:t xml:space="preserve"> </w:t>
      </w:r>
      <w:r>
        <w:t>the</w:t>
      </w:r>
      <w:r>
        <w:rPr>
          <w:spacing w:val="-1"/>
        </w:rPr>
        <w:t xml:space="preserve"> </w:t>
      </w:r>
      <w:r>
        <w:t>United</w:t>
      </w:r>
      <w:r>
        <w:rPr>
          <w:spacing w:val="-1"/>
        </w:rPr>
        <w:t xml:space="preserve"> </w:t>
      </w:r>
      <w:r>
        <w:t>States</w:t>
      </w:r>
      <w:r>
        <w:rPr>
          <w:spacing w:val="-1"/>
        </w:rPr>
        <w:t xml:space="preserve"> </w:t>
      </w:r>
      <w:r>
        <w:t>Internal</w:t>
      </w:r>
      <w:r>
        <w:rPr>
          <w:spacing w:val="-1"/>
        </w:rPr>
        <w:t xml:space="preserve"> </w:t>
      </w:r>
      <w:r>
        <w:t>Revenue</w:t>
      </w:r>
      <w:r>
        <w:rPr>
          <w:spacing w:val="-1"/>
        </w:rPr>
        <w:t xml:space="preserve"> </w:t>
      </w:r>
      <w:r>
        <w:t>Code</w:t>
      </w:r>
      <w:r>
        <w:rPr>
          <w:spacing w:val="-1"/>
        </w:rPr>
        <w:t xml:space="preserve"> </w:t>
      </w:r>
      <w:r>
        <w:t>of</w:t>
      </w:r>
      <w:r>
        <w:rPr>
          <w:spacing w:val="-1"/>
        </w:rPr>
        <w:t xml:space="preserve"> </w:t>
      </w:r>
      <w:r>
        <w:t>1986, as</w:t>
      </w:r>
      <w:r>
        <w:rPr>
          <w:spacing w:val="-1"/>
        </w:rPr>
        <w:t xml:space="preserve"> </w:t>
      </w:r>
      <w:r>
        <w:t>amend</w:t>
      </w:r>
      <w:r>
        <w:t>ed</w:t>
      </w:r>
      <w:r>
        <w:rPr>
          <w:spacing w:val="-1"/>
        </w:rPr>
        <w:t xml:space="preserve"> </w:t>
      </w:r>
      <w:r>
        <w:t>from</w:t>
      </w:r>
      <w:r>
        <w:rPr>
          <w:spacing w:val="-2"/>
        </w:rPr>
        <w:t xml:space="preserve"> </w:t>
      </w:r>
      <w:r>
        <w:t>the</w:t>
      </w:r>
      <w:r>
        <w:rPr>
          <w:spacing w:val="-1"/>
        </w:rPr>
        <w:t xml:space="preserve"> </w:t>
      </w:r>
      <w:r>
        <w:t>time</w:t>
      </w:r>
      <w:r>
        <w:rPr>
          <w:spacing w:val="-1"/>
        </w:rPr>
        <w:t xml:space="preserve"> </w:t>
      </w:r>
      <w:r>
        <w:t>to time.</w:t>
      </w:r>
    </w:p>
    <w:p w14:paraId="790803D2" w14:textId="77777777" w:rsidR="00E8490C" w:rsidRDefault="00E8490C">
      <w:pPr>
        <w:pStyle w:val="BodyText"/>
        <w:rPr>
          <w:sz w:val="30"/>
        </w:rPr>
      </w:pPr>
    </w:p>
    <w:p w14:paraId="790803D3" w14:textId="77777777" w:rsidR="00E8490C" w:rsidRDefault="007838C5">
      <w:pPr>
        <w:pStyle w:val="ListParagraph"/>
        <w:numPr>
          <w:ilvl w:val="1"/>
          <w:numId w:val="2"/>
        </w:numPr>
        <w:tabs>
          <w:tab w:val="left" w:pos="1539"/>
        </w:tabs>
        <w:ind w:right="118" w:firstLine="720"/>
        <w:jc w:val="both"/>
      </w:pPr>
      <w:r>
        <w:rPr>
          <w:u w:val="single"/>
        </w:rPr>
        <w:t>Appointment and Removal</w:t>
      </w:r>
      <w:r>
        <w:t>.</w:t>
      </w:r>
      <w:r>
        <w:rPr>
          <w:spacing w:val="40"/>
        </w:rPr>
        <w:t xml:space="preserve"> </w:t>
      </w:r>
      <w:r>
        <w:t>Committee members shall be appointed by the Board. Members</w:t>
      </w:r>
      <w:r>
        <w:rPr>
          <w:spacing w:val="-2"/>
        </w:rPr>
        <w:t xml:space="preserve"> </w:t>
      </w:r>
      <w:r>
        <w:t>of</w:t>
      </w:r>
      <w:r>
        <w:rPr>
          <w:spacing w:val="-2"/>
        </w:rPr>
        <w:t xml:space="preserve"> </w:t>
      </w:r>
      <w:r>
        <w:t>the</w:t>
      </w:r>
      <w:r>
        <w:rPr>
          <w:spacing w:val="-3"/>
        </w:rPr>
        <w:t xml:space="preserve"> </w:t>
      </w:r>
      <w:r>
        <w:t>Committee</w:t>
      </w:r>
      <w:r>
        <w:rPr>
          <w:spacing w:val="-2"/>
        </w:rPr>
        <w:t xml:space="preserve"> </w:t>
      </w:r>
      <w:r>
        <w:t>shall</w:t>
      </w:r>
      <w:r>
        <w:rPr>
          <w:spacing w:val="-2"/>
        </w:rPr>
        <w:t xml:space="preserve"> </w:t>
      </w:r>
      <w:r>
        <w:t>serve until</w:t>
      </w:r>
      <w:r>
        <w:rPr>
          <w:spacing w:val="-2"/>
        </w:rPr>
        <w:t xml:space="preserve"> </w:t>
      </w:r>
      <w:r>
        <w:t>their</w:t>
      </w:r>
      <w:r>
        <w:rPr>
          <w:spacing w:val="-2"/>
        </w:rPr>
        <w:t xml:space="preserve"> </w:t>
      </w:r>
      <w:r>
        <w:t>resignation or</w:t>
      </w:r>
      <w:r>
        <w:rPr>
          <w:spacing w:val="-2"/>
        </w:rPr>
        <w:t xml:space="preserve"> </w:t>
      </w:r>
      <w:r>
        <w:t>removal.</w:t>
      </w:r>
      <w:r>
        <w:rPr>
          <w:spacing w:val="-2"/>
        </w:rPr>
        <w:t xml:space="preserve"> </w:t>
      </w:r>
      <w:r>
        <w:t>The</w:t>
      </w:r>
      <w:r>
        <w:rPr>
          <w:spacing w:val="-4"/>
        </w:rPr>
        <w:t xml:space="preserve"> </w:t>
      </w:r>
      <w:r>
        <w:t>Board</w:t>
      </w:r>
      <w:r>
        <w:rPr>
          <w:spacing w:val="-3"/>
        </w:rPr>
        <w:t xml:space="preserve"> </w:t>
      </w:r>
      <w:r>
        <w:t>may</w:t>
      </w:r>
      <w:r>
        <w:rPr>
          <w:spacing w:val="-2"/>
        </w:rPr>
        <w:t xml:space="preserve"> </w:t>
      </w:r>
      <w:r>
        <w:t>fill</w:t>
      </w:r>
      <w:r>
        <w:rPr>
          <w:spacing w:val="-4"/>
        </w:rPr>
        <w:t xml:space="preserve"> </w:t>
      </w:r>
      <w:r>
        <w:t>vacancies</w:t>
      </w:r>
      <w:r>
        <w:rPr>
          <w:spacing w:val="-4"/>
        </w:rPr>
        <w:t xml:space="preserve"> </w:t>
      </w:r>
      <w:r>
        <w:t>on the Committee by a majority vote of the authoriz</w:t>
      </w:r>
      <w:r>
        <w:t xml:space="preserve">ed numbers of </w:t>
      </w:r>
      <w:proofErr w:type="gramStart"/>
      <w:r>
        <w:t>Directors, but</w:t>
      </w:r>
      <w:proofErr w:type="gramEnd"/>
      <w:r>
        <w:t xml:space="preserve"> may remove Committee members</w:t>
      </w:r>
      <w:r>
        <w:rPr>
          <w:spacing w:val="-3"/>
        </w:rPr>
        <w:t xml:space="preserve"> </w:t>
      </w:r>
      <w:r>
        <w:t>only</w:t>
      </w:r>
      <w:r>
        <w:rPr>
          <w:spacing w:val="-1"/>
        </w:rPr>
        <w:t xml:space="preserve"> </w:t>
      </w:r>
      <w:r>
        <w:t>with</w:t>
      </w:r>
      <w:r>
        <w:rPr>
          <w:spacing w:val="-2"/>
        </w:rPr>
        <w:t xml:space="preserve"> </w:t>
      </w:r>
      <w:r>
        <w:t>the</w:t>
      </w:r>
      <w:r>
        <w:rPr>
          <w:spacing w:val="-3"/>
        </w:rPr>
        <w:t xml:space="preserve"> </w:t>
      </w:r>
      <w:r>
        <w:t>approval</w:t>
      </w:r>
      <w:r>
        <w:rPr>
          <w:spacing w:val="-2"/>
        </w:rPr>
        <w:t xml:space="preserve"> </w:t>
      </w:r>
      <w:r>
        <w:t>of</w:t>
      </w:r>
      <w:r>
        <w:rPr>
          <w:spacing w:val="-2"/>
        </w:rPr>
        <w:t xml:space="preserve"> </w:t>
      </w:r>
      <w:r>
        <w:t>a</w:t>
      </w:r>
      <w:r>
        <w:rPr>
          <w:spacing w:val="-3"/>
        </w:rPr>
        <w:t xml:space="preserve"> </w:t>
      </w:r>
      <w:r>
        <w:t>majority</w:t>
      </w:r>
      <w:r>
        <w:rPr>
          <w:spacing w:val="-1"/>
        </w:rPr>
        <w:t xml:space="preserve"> </w:t>
      </w:r>
      <w:r>
        <w:t>of</w:t>
      </w:r>
      <w:r>
        <w:rPr>
          <w:spacing w:val="-3"/>
        </w:rPr>
        <w:t xml:space="preserve"> </w:t>
      </w:r>
      <w:r>
        <w:t>the independent</w:t>
      </w:r>
      <w:r>
        <w:rPr>
          <w:spacing w:val="-2"/>
        </w:rPr>
        <w:t xml:space="preserve"> </w:t>
      </w:r>
      <w:r>
        <w:t>Directors</w:t>
      </w:r>
      <w:r>
        <w:rPr>
          <w:spacing w:val="-3"/>
        </w:rPr>
        <w:t xml:space="preserve"> </w:t>
      </w:r>
      <w:r>
        <w:t>then</w:t>
      </w:r>
      <w:r>
        <w:rPr>
          <w:spacing w:val="-3"/>
        </w:rPr>
        <w:t xml:space="preserve"> </w:t>
      </w:r>
      <w:r>
        <w:t>serving</w:t>
      </w:r>
      <w:r>
        <w:rPr>
          <w:spacing w:val="-2"/>
        </w:rPr>
        <w:t xml:space="preserve"> </w:t>
      </w:r>
      <w:r>
        <w:t>on</w:t>
      </w:r>
      <w:r>
        <w:rPr>
          <w:spacing w:val="-2"/>
        </w:rPr>
        <w:t xml:space="preserve"> </w:t>
      </w:r>
      <w:r>
        <w:t>the</w:t>
      </w:r>
      <w:r>
        <w:rPr>
          <w:spacing w:val="-3"/>
        </w:rPr>
        <w:t xml:space="preserve"> </w:t>
      </w:r>
      <w:r>
        <w:t>full</w:t>
      </w:r>
      <w:r>
        <w:rPr>
          <w:spacing w:val="-3"/>
        </w:rPr>
        <w:t xml:space="preserve"> </w:t>
      </w:r>
      <w:r>
        <w:t>Board.</w:t>
      </w:r>
    </w:p>
    <w:p w14:paraId="790803D4" w14:textId="77777777" w:rsidR="00E8490C" w:rsidRDefault="00E8490C">
      <w:pPr>
        <w:pStyle w:val="BodyText"/>
        <w:spacing w:before="9"/>
        <w:rPr>
          <w:sz w:val="21"/>
        </w:rPr>
      </w:pPr>
    </w:p>
    <w:p w14:paraId="790803D5" w14:textId="77777777" w:rsidR="00E8490C" w:rsidRDefault="007838C5">
      <w:pPr>
        <w:pStyle w:val="ListParagraph"/>
        <w:numPr>
          <w:ilvl w:val="0"/>
          <w:numId w:val="2"/>
        </w:numPr>
        <w:tabs>
          <w:tab w:val="left" w:pos="820"/>
        </w:tabs>
        <w:ind w:right="0" w:hanging="720"/>
        <w:rPr>
          <w:b/>
        </w:rPr>
      </w:pPr>
      <w:r>
        <w:rPr>
          <w:b/>
          <w:color w:val="333333"/>
        </w:rPr>
        <w:t>Meetings,</w:t>
      </w:r>
      <w:r>
        <w:rPr>
          <w:b/>
          <w:color w:val="333333"/>
          <w:spacing w:val="-7"/>
        </w:rPr>
        <w:t xml:space="preserve"> </w:t>
      </w:r>
      <w:r>
        <w:rPr>
          <w:b/>
          <w:color w:val="333333"/>
        </w:rPr>
        <w:t>Reports</w:t>
      </w:r>
      <w:r>
        <w:rPr>
          <w:b/>
          <w:color w:val="333333"/>
          <w:spacing w:val="-7"/>
        </w:rPr>
        <w:t xml:space="preserve"> </w:t>
      </w:r>
      <w:r>
        <w:rPr>
          <w:b/>
          <w:color w:val="333333"/>
        </w:rPr>
        <w:t>and</w:t>
      </w:r>
      <w:r>
        <w:rPr>
          <w:b/>
          <w:color w:val="333333"/>
          <w:spacing w:val="-7"/>
        </w:rPr>
        <w:t xml:space="preserve"> </w:t>
      </w:r>
      <w:r>
        <w:rPr>
          <w:b/>
          <w:color w:val="333333"/>
        </w:rPr>
        <w:t>Resources</w:t>
      </w:r>
      <w:r>
        <w:rPr>
          <w:b/>
          <w:color w:val="333333"/>
          <w:spacing w:val="-7"/>
        </w:rPr>
        <w:t xml:space="preserve"> </w:t>
      </w:r>
      <w:r>
        <w:rPr>
          <w:b/>
          <w:color w:val="333333"/>
        </w:rPr>
        <w:t>of</w:t>
      </w:r>
      <w:r>
        <w:rPr>
          <w:b/>
          <w:color w:val="333333"/>
          <w:spacing w:val="-7"/>
        </w:rPr>
        <w:t xml:space="preserve"> </w:t>
      </w:r>
      <w:r>
        <w:rPr>
          <w:b/>
          <w:color w:val="333333"/>
        </w:rPr>
        <w:t>the</w:t>
      </w:r>
      <w:r>
        <w:rPr>
          <w:b/>
          <w:color w:val="333333"/>
          <w:spacing w:val="-7"/>
        </w:rPr>
        <w:t xml:space="preserve"> </w:t>
      </w:r>
      <w:r>
        <w:rPr>
          <w:b/>
          <w:color w:val="333333"/>
          <w:spacing w:val="-2"/>
        </w:rPr>
        <w:t>Committee</w:t>
      </w:r>
    </w:p>
    <w:p w14:paraId="790803D6" w14:textId="77777777" w:rsidR="00E8490C" w:rsidRDefault="00E8490C">
      <w:pPr>
        <w:pStyle w:val="BodyText"/>
        <w:spacing w:before="10"/>
        <w:rPr>
          <w:b/>
          <w:sz w:val="20"/>
        </w:rPr>
      </w:pPr>
    </w:p>
    <w:p w14:paraId="790803D7" w14:textId="77777777" w:rsidR="00E8490C" w:rsidRDefault="007838C5">
      <w:pPr>
        <w:pStyle w:val="ListParagraph"/>
        <w:numPr>
          <w:ilvl w:val="1"/>
          <w:numId w:val="2"/>
        </w:numPr>
        <w:tabs>
          <w:tab w:val="left" w:pos="1538"/>
        </w:tabs>
        <w:spacing w:before="1"/>
        <w:ind w:firstLine="720"/>
        <w:jc w:val="both"/>
      </w:pPr>
      <w:r>
        <w:rPr>
          <w:u w:val="single"/>
        </w:rPr>
        <w:t>Meetings</w:t>
      </w:r>
      <w:r>
        <w:t>.</w:t>
      </w:r>
      <w:r>
        <w:rPr>
          <w:spacing w:val="40"/>
        </w:rPr>
        <w:t xml:space="preserve"> </w:t>
      </w:r>
      <w:r>
        <w:t xml:space="preserve">In discharging its </w:t>
      </w:r>
      <w:r>
        <w:t>responsibilities, the Committee shall meet as often as it determines necessary or advisable, but not less frequently than annually. The Committee may also hold special</w:t>
      </w:r>
      <w:r>
        <w:rPr>
          <w:spacing w:val="-3"/>
        </w:rPr>
        <w:t xml:space="preserve"> </w:t>
      </w:r>
      <w:r>
        <w:t>meetings</w:t>
      </w:r>
      <w:r>
        <w:rPr>
          <w:spacing w:val="-3"/>
        </w:rPr>
        <w:t xml:space="preserve"> </w:t>
      </w:r>
      <w:r>
        <w:t>or</w:t>
      </w:r>
      <w:r>
        <w:rPr>
          <w:spacing w:val="-3"/>
        </w:rPr>
        <w:t xml:space="preserve"> </w:t>
      </w:r>
      <w:r>
        <w:t>act</w:t>
      </w:r>
      <w:r>
        <w:rPr>
          <w:spacing w:val="-4"/>
        </w:rPr>
        <w:t xml:space="preserve"> </w:t>
      </w:r>
      <w:r>
        <w:t>by</w:t>
      </w:r>
      <w:r>
        <w:rPr>
          <w:spacing w:val="-3"/>
        </w:rPr>
        <w:t xml:space="preserve"> </w:t>
      </w:r>
      <w:r>
        <w:t>unanimous</w:t>
      </w:r>
      <w:r>
        <w:rPr>
          <w:spacing w:val="-4"/>
        </w:rPr>
        <w:t xml:space="preserve"> </w:t>
      </w:r>
      <w:r>
        <w:t>written</w:t>
      </w:r>
      <w:r>
        <w:rPr>
          <w:spacing w:val="-3"/>
        </w:rPr>
        <w:t xml:space="preserve"> </w:t>
      </w:r>
      <w:r>
        <w:t>consent</w:t>
      </w:r>
      <w:r>
        <w:rPr>
          <w:spacing w:val="-4"/>
        </w:rPr>
        <w:t xml:space="preserve"> </w:t>
      </w:r>
      <w:r>
        <w:t>as</w:t>
      </w:r>
      <w:r>
        <w:rPr>
          <w:spacing w:val="-4"/>
        </w:rPr>
        <w:t xml:space="preserve"> </w:t>
      </w:r>
      <w:r>
        <w:t>the Committee</w:t>
      </w:r>
      <w:r>
        <w:rPr>
          <w:spacing w:val="-4"/>
        </w:rPr>
        <w:t xml:space="preserve"> </w:t>
      </w:r>
      <w:r>
        <w:t>may</w:t>
      </w:r>
      <w:r>
        <w:rPr>
          <w:spacing w:val="-3"/>
        </w:rPr>
        <w:t xml:space="preserve"> </w:t>
      </w:r>
      <w:r>
        <w:t>decide.</w:t>
      </w:r>
      <w:r>
        <w:rPr>
          <w:spacing w:val="-3"/>
        </w:rPr>
        <w:t xml:space="preserve"> </w:t>
      </w:r>
      <w:r>
        <w:t>The</w:t>
      </w:r>
      <w:r>
        <w:rPr>
          <w:spacing w:val="-4"/>
        </w:rPr>
        <w:t xml:space="preserve"> </w:t>
      </w:r>
      <w:r>
        <w:t>meetings</w:t>
      </w:r>
      <w:r>
        <w:rPr>
          <w:spacing w:val="-3"/>
        </w:rPr>
        <w:t xml:space="preserve"> </w:t>
      </w:r>
      <w:r>
        <w:t>may</w:t>
      </w:r>
      <w:r>
        <w:rPr>
          <w:spacing w:val="-3"/>
        </w:rPr>
        <w:t xml:space="preserve"> </w:t>
      </w:r>
      <w:r>
        <w:t xml:space="preserve">be in person </w:t>
      </w:r>
      <w:proofErr w:type="gramStart"/>
      <w:r>
        <w:t>or</w:t>
      </w:r>
      <w:proofErr w:type="gramEnd"/>
      <w:r>
        <w:rPr>
          <w:spacing w:val="-1"/>
        </w:rPr>
        <w:t xml:space="preserve"> </w:t>
      </w:r>
      <w:r>
        <w:t>telephone. The</w:t>
      </w:r>
      <w:r>
        <w:rPr>
          <w:spacing w:val="-1"/>
        </w:rPr>
        <w:t xml:space="preserve"> </w:t>
      </w:r>
      <w:r>
        <w:t>Committee</w:t>
      </w:r>
      <w:r>
        <w:rPr>
          <w:spacing w:val="-1"/>
        </w:rPr>
        <w:t xml:space="preserve"> </w:t>
      </w:r>
      <w:r>
        <w:t>shall appoint</w:t>
      </w:r>
      <w:r>
        <w:rPr>
          <w:spacing w:val="-1"/>
        </w:rPr>
        <w:t xml:space="preserve"> </w:t>
      </w:r>
      <w:r>
        <w:t>a secretary to</w:t>
      </w:r>
      <w:r>
        <w:rPr>
          <w:spacing w:val="-1"/>
        </w:rPr>
        <w:t xml:space="preserve"> </w:t>
      </w:r>
      <w:r>
        <w:t>be</w:t>
      </w:r>
      <w:r>
        <w:rPr>
          <w:spacing w:val="-1"/>
        </w:rPr>
        <w:t xml:space="preserve"> </w:t>
      </w:r>
      <w:r>
        <w:t>the</w:t>
      </w:r>
      <w:r>
        <w:rPr>
          <w:spacing w:val="-1"/>
        </w:rPr>
        <w:t xml:space="preserve"> </w:t>
      </w:r>
      <w:r>
        <w:t>secretary of each meeting</w:t>
      </w:r>
      <w:r>
        <w:rPr>
          <w:spacing w:val="-1"/>
        </w:rPr>
        <w:t xml:space="preserve"> </w:t>
      </w:r>
      <w:r>
        <w:t>of</w:t>
      </w:r>
      <w:r>
        <w:rPr>
          <w:spacing w:val="-1"/>
        </w:rPr>
        <w:t xml:space="preserve"> </w:t>
      </w:r>
      <w:r>
        <w:t>the Committee to keep written minutes</w:t>
      </w:r>
      <w:r>
        <w:rPr>
          <w:spacing w:val="-1"/>
        </w:rPr>
        <w:t xml:space="preserve"> </w:t>
      </w:r>
      <w:r>
        <w:t>of the</w:t>
      </w:r>
      <w:r>
        <w:rPr>
          <w:spacing w:val="-1"/>
        </w:rPr>
        <w:t xml:space="preserve"> </w:t>
      </w:r>
      <w:r>
        <w:t>meeting and deliberations</w:t>
      </w:r>
      <w:r>
        <w:rPr>
          <w:spacing w:val="-1"/>
        </w:rPr>
        <w:t xml:space="preserve"> </w:t>
      </w:r>
      <w:r>
        <w:t>and will ensure</w:t>
      </w:r>
      <w:r>
        <w:rPr>
          <w:spacing w:val="-1"/>
        </w:rPr>
        <w:t xml:space="preserve"> </w:t>
      </w:r>
      <w:r>
        <w:t>that such minutes</w:t>
      </w:r>
      <w:r>
        <w:rPr>
          <w:spacing w:val="-2"/>
        </w:rPr>
        <w:t xml:space="preserve"> </w:t>
      </w:r>
      <w:r>
        <w:t>are included in the Company’s minute book</w:t>
      </w:r>
      <w:r>
        <w:t>. The Chair of the Committee shall report at the next regularly scheduled Board meeting following the applicable Committee meeting.</w:t>
      </w:r>
    </w:p>
    <w:p w14:paraId="790803D8" w14:textId="77777777" w:rsidR="00E8490C" w:rsidRDefault="00E8490C">
      <w:pPr>
        <w:pStyle w:val="BodyText"/>
        <w:spacing w:before="8"/>
        <w:rPr>
          <w:sz w:val="21"/>
        </w:rPr>
      </w:pPr>
    </w:p>
    <w:p w14:paraId="790803D9" w14:textId="77777777" w:rsidR="00E8490C" w:rsidRDefault="007838C5">
      <w:pPr>
        <w:pStyle w:val="ListParagraph"/>
        <w:numPr>
          <w:ilvl w:val="1"/>
          <w:numId w:val="2"/>
        </w:numPr>
        <w:tabs>
          <w:tab w:val="left" w:pos="1539"/>
        </w:tabs>
        <w:ind w:firstLine="720"/>
        <w:jc w:val="both"/>
      </w:pPr>
      <w:r>
        <w:rPr>
          <w:u w:val="single"/>
        </w:rPr>
        <w:t>Procedures</w:t>
      </w:r>
      <w:r>
        <w:t>.</w:t>
      </w:r>
      <w:r>
        <w:rPr>
          <w:spacing w:val="40"/>
        </w:rPr>
        <w:t xml:space="preserve"> </w:t>
      </w:r>
      <w:r>
        <w:t>The Committee may establish its own procedures, including the formation and delegation to subcommittees, in a m</w:t>
      </w:r>
      <w:r>
        <w:t>anner not inconsistent with this charter, the articles or applicable laws or regulations. The Chair or a majority of the Committee members may call meetings of the Committee. A majority of the members of the Committee shall constitute a quorum for the tran</w:t>
      </w:r>
      <w:r>
        <w:t xml:space="preserve">saction of Committee business, and the vote of a majority of the Committee members present at the meeting at which a quorum is present shall be the act of the Committee. The Committee shall review, </w:t>
      </w:r>
      <w:proofErr w:type="gramStart"/>
      <w:r>
        <w:t>discuss</w:t>
      </w:r>
      <w:proofErr w:type="gramEnd"/>
      <w:r>
        <w:t xml:space="preserve"> and assess its own performance at least annually. </w:t>
      </w:r>
      <w:r>
        <w:t>The Committee shall also periodically review and assess</w:t>
      </w:r>
      <w:r>
        <w:rPr>
          <w:spacing w:val="-1"/>
        </w:rPr>
        <w:t xml:space="preserve"> </w:t>
      </w:r>
      <w:r>
        <w:t>the adequacy of this charter, including the Committee’s role and responsibilities as outlined in this charter, and shall periodically, but at least annually, report to the Board on its proceedings, re</w:t>
      </w:r>
      <w:r>
        <w:t>views undertaken</w:t>
      </w:r>
      <w:r>
        <w:rPr>
          <w:spacing w:val="40"/>
        </w:rPr>
        <w:t xml:space="preserve"> </w:t>
      </w:r>
      <w:r>
        <w:t>and any associated recommendations for its consideration.</w:t>
      </w:r>
    </w:p>
    <w:p w14:paraId="790803DA" w14:textId="77777777" w:rsidR="00E8490C" w:rsidRDefault="00E8490C">
      <w:pPr>
        <w:pStyle w:val="BodyText"/>
        <w:spacing w:before="1"/>
      </w:pPr>
    </w:p>
    <w:p w14:paraId="790803DB" w14:textId="77777777" w:rsidR="00E8490C" w:rsidRDefault="007838C5">
      <w:pPr>
        <w:pStyle w:val="ListParagraph"/>
        <w:numPr>
          <w:ilvl w:val="1"/>
          <w:numId w:val="2"/>
        </w:numPr>
        <w:tabs>
          <w:tab w:val="left" w:pos="1540"/>
        </w:tabs>
        <w:spacing w:before="1"/>
        <w:ind w:left="1540" w:right="0"/>
      </w:pPr>
      <w:r>
        <w:rPr>
          <w:spacing w:val="-2"/>
          <w:u w:val="single"/>
        </w:rPr>
        <w:t>Reports</w:t>
      </w:r>
      <w:r>
        <w:rPr>
          <w:spacing w:val="-2"/>
        </w:rPr>
        <w:t>.</w:t>
      </w:r>
    </w:p>
    <w:p w14:paraId="790803DC" w14:textId="77777777" w:rsidR="00E8490C" w:rsidRDefault="00E8490C">
      <w:pPr>
        <w:pStyle w:val="BodyText"/>
        <w:spacing w:before="1"/>
        <w:rPr>
          <w:sz w:val="13"/>
        </w:rPr>
      </w:pPr>
    </w:p>
    <w:p w14:paraId="790803DD" w14:textId="77777777" w:rsidR="00E8490C" w:rsidRDefault="007838C5">
      <w:pPr>
        <w:pStyle w:val="ListParagraph"/>
        <w:numPr>
          <w:ilvl w:val="2"/>
          <w:numId w:val="2"/>
        </w:numPr>
        <w:tabs>
          <w:tab w:val="left" w:pos="1805"/>
        </w:tabs>
        <w:spacing w:before="91"/>
        <w:ind w:right="118" w:firstLine="1440"/>
        <w:jc w:val="both"/>
      </w:pPr>
      <w:r>
        <w:t>The Committee shall</w:t>
      </w:r>
      <w:r>
        <w:rPr>
          <w:spacing w:val="-1"/>
        </w:rPr>
        <w:t xml:space="preserve"> </w:t>
      </w:r>
      <w:r>
        <w:t>prepare</w:t>
      </w:r>
      <w:r>
        <w:rPr>
          <w:spacing w:val="-1"/>
        </w:rPr>
        <w:t xml:space="preserve"> </w:t>
      </w:r>
      <w:r>
        <w:t>and</w:t>
      </w:r>
      <w:r>
        <w:rPr>
          <w:spacing w:val="-1"/>
        </w:rPr>
        <w:t xml:space="preserve"> </w:t>
      </w:r>
      <w:r>
        <w:t>review,</w:t>
      </w:r>
      <w:r>
        <w:rPr>
          <w:spacing w:val="-1"/>
        </w:rPr>
        <w:t xml:space="preserve"> </w:t>
      </w:r>
      <w:r>
        <w:t>at</w:t>
      </w:r>
      <w:r>
        <w:rPr>
          <w:spacing w:val="-1"/>
        </w:rPr>
        <w:t xml:space="preserve"> </w:t>
      </w:r>
      <w:r>
        <w:t>an</w:t>
      </w:r>
      <w:r>
        <w:rPr>
          <w:spacing w:val="-1"/>
        </w:rPr>
        <w:t xml:space="preserve"> </w:t>
      </w:r>
      <w:r>
        <w:t>appropriate</w:t>
      </w:r>
      <w:r>
        <w:rPr>
          <w:spacing w:val="-1"/>
        </w:rPr>
        <w:t xml:space="preserve"> </w:t>
      </w:r>
      <w:r>
        <w:t>time</w:t>
      </w:r>
      <w:r>
        <w:rPr>
          <w:spacing w:val="-1"/>
        </w:rPr>
        <w:t xml:space="preserve"> </w:t>
      </w:r>
      <w:r>
        <w:t>prior</w:t>
      </w:r>
      <w:r>
        <w:rPr>
          <w:spacing w:val="-1"/>
        </w:rPr>
        <w:t xml:space="preserve"> </w:t>
      </w:r>
      <w:r>
        <w:t>to</w:t>
      </w:r>
      <w:r>
        <w:rPr>
          <w:spacing w:val="-1"/>
        </w:rPr>
        <w:t xml:space="preserve"> </w:t>
      </w:r>
      <w:r>
        <w:t>preparation</w:t>
      </w:r>
      <w:r>
        <w:rPr>
          <w:spacing w:val="-1"/>
        </w:rPr>
        <w:t xml:space="preserve"> </w:t>
      </w:r>
      <w:r>
        <w:t>of the Company’s information circular for its annual meeting, a statement of executive</w:t>
      </w:r>
      <w:r>
        <w:t xml:space="preserve"> compensation which shall be recommended to the Board for inclusion in such information circular. The statement of executive compensation shall include the disclosure required under all applicable laws and stock exchange rules, including a discussion of th</w:t>
      </w:r>
      <w:r>
        <w:t>e Committee’s compensation policies applicable to the Company’s named executive</w:t>
      </w:r>
      <w:r>
        <w:rPr>
          <w:spacing w:val="-2"/>
        </w:rPr>
        <w:t xml:space="preserve"> </w:t>
      </w:r>
      <w:r>
        <w:t>officers</w:t>
      </w:r>
      <w:r>
        <w:rPr>
          <w:spacing w:val="-2"/>
        </w:rPr>
        <w:t xml:space="preserve"> </w:t>
      </w:r>
      <w:r>
        <w:t>and</w:t>
      </w:r>
      <w:r>
        <w:rPr>
          <w:spacing w:val="-2"/>
        </w:rPr>
        <w:t xml:space="preserve"> </w:t>
      </w:r>
      <w:r>
        <w:t>Board.</w:t>
      </w:r>
      <w:r>
        <w:rPr>
          <w:spacing w:val="-1"/>
        </w:rPr>
        <w:t xml:space="preserve"> </w:t>
      </w:r>
      <w:r>
        <w:t>The</w:t>
      </w:r>
      <w:r>
        <w:rPr>
          <w:spacing w:val="-2"/>
        </w:rPr>
        <w:t xml:space="preserve"> </w:t>
      </w:r>
      <w:r>
        <w:t>Committee</w:t>
      </w:r>
      <w:r>
        <w:rPr>
          <w:spacing w:val="-2"/>
        </w:rPr>
        <w:t xml:space="preserve"> </w:t>
      </w:r>
      <w:r>
        <w:t>shall</w:t>
      </w:r>
      <w:r>
        <w:rPr>
          <w:spacing w:val="-2"/>
        </w:rPr>
        <w:t xml:space="preserve"> </w:t>
      </w:r>
      <w:r>
        <w:t>also</w:t>
      </w:r>
      <w:r>
        <w:rPr>
          <w:spacing w:val="-2"/>
        </w:rPr>
        <w:t xml:space="preserve"> </w:t>
      </w:r>
      <w:r>
        <w:t>report</w:t>
      </w:r>
      <w:r>
        <w:rPr>
          <w:spacing w:val="-2"/>
        </w:rPr>
        <w:t xml:space="preserve"> </w:t>
      </w:r>
      <w:r>
        <w:t>to</w:t>
      </w:r>
      <w:r>
        <w:rPr>
          <w:spacing w:val="-2"/>
        </w:rPr>
        <w:t xml:space="preserve"> </w:t>
      </w:r>
      <w:r>
        <w:t>the</w:t>
      </w:r>
      <w:r>
        <w:rPr>
          <w:spacing w:val="-2"/>
        </w:rPr>
        <w:t xml:space="preserve"> </w:t>
      </w:r>
      <w:r>
        <w:t>Board</w:t>
      </w:r>
      <w:r>
        <w:rPr>
          <w:spacing w:val="-2"/>
        </w:rPr>
        <w:t xml:space="preserve"> </w:t>
      </w:r>
      <w:r>
        <w:t>on</w:t>
      </w:r>
      <w:r>
        <w:rPr>
          <w:spacing w:val="-1"/>
        </w:rPr>
        <w:t xml:space="preserve"> </w:t>
      </w:r>
      <w:r>
        <w:t>the</w:t>
      </w:r>
      <w:r>
        <w:rPr>
          <w:spacing w:val="-2"/>
        </w:rPr>
        <w:t xml:space="preserve"> </w:t>
      </w:r>
      <w:r>
        <w:t>major</w:t>
      </w:r>
      <w:r>
        <w:rPr>
          <w:spacing w:val="-2"/>
        </w:rPr>
        <w:t xml:space="preserve"> </w:t>
      </w:r>
      <w:r>
        <w:t>items</w:t>
      </w:r>
      <w:r>
        <w:rPr>
          <w:spacing w:val="-3"/>
        </w:rPr>
        <w:t xml:space="preserve"> </w:t>
      </w:r>
      <w:r>
        <w:t>covered</w:t>
      </w:r>
      <w:r>
        <w:rPr>
          <w:spacing w:val="-3"/>
        </w:rPr>
        <w:t xml:space="preserve"> </w:t>
      </w:r>
      <w:r>
        <w:t xml:space="preserve">by the Committee as it may determine to be appropriate. The Committee shall </w:t>
      </w:r>
      <w:r>
        <w:t>review and discuss with management the Company’s compensation disclosures to be included in the information circular, and any other disclosure document required by applicable law.</w:t>
      </w:r>
    </w:p>
    <w:p w14:paraId="790803DE" w14:textId="77777777" w:rsidR="00E8490C" w:rsidRDefault="00E8490C">
      <w:pPr>
        <w:pStyle w:val="BodyText"/>
        <w:spacing w:before="11"/>
        <w:rPr>
          <w:sz w:val="21"/>
        </w:rPr>
      </w:pPr>
    </w:p>
    <w:p w14:paraId="790803DF" w14:textId="77777777" w:rsidR="00E8490C" w:rsidRDefault="007838C5">
      <w:pPr>
        <w:pStyle w:val="ListParagraph"/>
        <w:numPr>
          <w:ilvl w:val="2"/>
          <w:numId w:val="2"/>
        </w:numPr>
        <w:tabs>
          <w:tab w:val="left" w:pos="1946"/>
        </w:tabs>
        <w:ind w:right="122" w:firstLine="1440"/>
        <w:jc w:val="both"/>
      </w:pPr>
      <w:r>
        <w:t>The Committee shall prepare and review the Committee report on executive co</w:t>
      </w:r>
      <w:r>
        <w:t>mpensation</w:t>
      </w:r>
      <w:r>
        <w:rPr>
          <w:spacing w:val="31"/>
        </w:rPr>
        <w:t xml:space="preserve"> </w:t>
      </w:r>
      <w:r>
        <w:t>to</w:t>
      </w:r>
      <w:r>
        <w:rPr>
          <w:spacing w:val="30"/>
        </w:rPr>
        <w:t xml:space="preserve"> </w:t>
      </w:r>
      <w:r>
        <w:t>be</w:t>
      </w:r>
      <w:r>
        <w:rPr>
          <w:spacing w:val="30"/>
        </w:rPr>
        <w:t xml:space="preserve"> </w:t>
      </w:r>
      <w:r>
        <w:t>included</w:t>
      </w:r>
      <w:r>
        <w:rPr>
          <w:spacing w:val="30"/>
        </w:rPr>
        <w:t xml:space="preserve"> </w:t>
      </w:r>
      <w:r>
        <w:t>in</w:t>
      </w:r>
      <w:r>
        <w:rPr>
          <w:spacing w:val="30"/>
        </w:rPr>
        <w:t xml:space="preserve"> </w:t>
      </w:r>
      <w:r>
        <w:t>the</w:t>
      </w:r>
      <w:r>
        <w:rPr>
          <w:spacing w:val="30"/>
        </w:rPr>
        <w:t xml:space="preserve"> </w:t>
      </w:r>
      <w:r>
        <w:t>Company’s</w:t>
      </w:r>
      <w:r>
        <w:rPr>
          <w:spacing w:val="30"/>
        </w:rPr>
        <w:t xml:space="preserve"> </w:t>
      </w:r>
      <w:r>
        <w:t>annual</w:t>
      </w:r>
      <w:r>
        <w:rPr>
          <w:spacing w:val="30"/>
        </w:rPr>
        <w:t xml:space="preserve"> </w:t>
      </w:r>
      <w:r>
        <w:t>proxy</w:t>
      </w:r>
      <w:r>
        <w:rPr>
          <w:spacing w:val="32"/>
        </w:rPr>
        <w:t xml:space="preserve"> </w:t>
      </w:r>
      <w:r>
        <w:t>statement</w:t>
      </w:r>
      <w:r>
        <w:rPr>
          <w:spacing w:val="29"/>
        </w:rPr>
        <w:t xml:space="preserve"> </w:t>
      </w:r>
      <w:r>
        <w:t>in</w:t>
      </w:r>
      <w:r>
        <w:rPr>
          <w:spacing w:val="29"/>
        </w:rPr>
        <w:t xml:space="preserve"> </w:t>
      </w:r>
      <w:r>
        <w:t>accordance</w:t>
      </w:r>
      <w:r>
        <w:rPr>
          <w:spacing w:val="28"/>
        </w:rPr>
        <w:t xml:space="preserve"> </w:t>
      </w:r>
      <w:r>
        <w:t>with</w:t>
      </w:r>
      <w:r>
        <w:rPr>
          <w:spacing w:val="29"/>
        </w:rPr>
        <w:t xml:space="preserve"> </w:t>
      </w:r>
      <w:proofErr w:type="gramStart"/>
      <w:r>
        <w:t>applicable</w:t>
      </w:r>
      <w:proofErr w:type="gramEnd"/>
    </w:p>
    <w:p w14:paraId="790803E0" w14:textId="77777777" w:rsidR="00E8490C" w:rsidRDefault="00E8490C">
      <w:pPr>
        <w:jc w:val="both"/>
        <w:sectPr w:rsidR="00E8490C">
          <w:pgSz w:w="12240" w:h="15840"/>
          <w:pgMar w:top="1660" w:right="1320" w:bottom="880" w:left="1340" w:header="0" w:footer="699" w:gutter="0"/>
          <w:cols w:space="720"/>
        </w:sectPr>
      </w:pPr>
    </w:p>
    <w:p w14:paraId="790803E1" w14:textId="77777777" w:rsidR="00E8490C" w:rsidRDefault="007838C5">
      <w:pPr>
        <w:pStyle w:val="BodyText"/>
        <w:spacing w:before="68"/>
        <w:ind w:left="100" w:right="118"/>
        <w:jc w:val="both"/>
      </w:pPr>
      <w:r>
        <w:lastRenderedPageBreak/>
        <w:t xml:space="preserve">SEC rules and regulations and shall review and discuss with management the Company’s compensation disclosures for use in any of the </w:t>
      </w:r>
      <w:r>
        <w:t>Company’s annual reports</w:t>
      </w:r>
      <w:r>
        <w:rPr>
          <w:spacing w:val="40"/>
        </w:rPr>
        <w:t xml:space="preserve"> </w:t>
      </w:r>
      <w:r>
        <w:t>and information circulars on Form 51-102F5 and 51-102F6, Form 10-K, Form 20-F or Form 40-F, as applicable, registration statements, proxy statements or information statements and make recommendations to the Board that such disclosu</w:t>
      </w:r>
      <w:r>
        <w:t>res be approved for inclusion in the Company’s annual reports and information circulars on Form 51-102F5 and 51-102F6, Form 10-K, Form 20-F or Form 40-F, as applicable.</w:t>
      </w:r>
    </w:p>
    <w:p w14:paraId="790803E2" w14:textId="77777777" w:rsidR="00E8490C" w:rsidRDefault="00E8490C">
      <w:pPr>
        <w:pStyle w:val="BodyText"/>
        <w:spacing w:before="7"/>
        <w:rPr>
          <w:sz w:val="21"/>
        </w:rPr>
      </w:pPr>
    </w:p>
    <w:p w14:paraId="790803E3" w14:textId="77777777" w:rsidR="00E8490C" w:rsidRDefault="007838C5">
      <w:pPr>
        <w:pStyle w:val="ListParagraph"/>
        <w:numPr>
          <w:ilvl w:val="1"/>
          <w:numId w:val="2"/>
        </w:numPr>
        <w:tabs>
          <w:tab w:val="left" w:pos="1539"/>
        </w:tabs>
        <w:ind w:firstLine="720"/>
        <w:jc w:val="both"/>
      </w:pPr>
      <w:r>
        <w:rPr>
          <w:u w:val="single"/>
        </w:rPr>
        <w:t>Resources</w:t>
      </w:r>
      <w:r>
        <w:t>.</w:t>
      </w:r>
      <w:r>
        <w:rPr>
          <w:spacing w:val="40"/>
        </w:rPr>
        <w:t xml:space="preserve"> </w:t>
      </w:r>
      <w:r>
        <w:t xml:space="preserve">The Committee is at all times authorized to have direct, </w:t>
      </w:r>
      <w:proofErr w:type="gramStart"/>
      <w:r>
        <w:t>independent</w:t>
      </w:r>
      <w:proofErr w:type="gramEnd"/>
      <w:r>
        <w:t xml:space="preserve"> and co</w:t>
      </w:r>
      <w:r>
        <w:t>nfidential access to the Company’s other directors, management and personnel to carry out the Committee’s purposes. The Committee shall have the sole authority to retain and terminate at the Company’s expense any compensation-consulting firm used to evalua</w:t>
      </w:r>
      <w:r>
        <w:t>te executive officer or director compensation, and to approve the consulting firm’s fees and other retention terms. The Committee is also authorized to retain and terminate at the Company’s expense, independent counsel or other advisers selected by the Com</w:t>
      </w:r>
      <w:r>
        <w:t>mittee for matters related to the Committee’s purposes.</w:t>
      </w:r>
    </w:p>
    <w:p w14:paraId="790803E4" w14:textId="77777777" w:rsidR="00E8490C" w:rsidRDefault="00E8490C">
      <w:pPr>
        <w:pStyle w:val="BodyText"/>
        <w:spacing w:before="8"/>
        <w:rPr>
          <w:sz w:val="21"/>
        </w:rPr>
      </w:pPr>
    </w:p>
    <w:p w14:paraId="790803E5" w14:textId="77777777" w:rsidR="00E8490C" w:rsidRDefault="007838C5">
      <w:pPr>
        <w:pStyle w:val="ListParagraph"/>
        <w:numPr>
          <w:ilvl w:val="1"/>
          <w:numId w:val="2"/>
        </w:numPr>
        <w:tabs>
          <w:tab w:val="left" w:pos="1539"/>
        </w:tabs>
        <w:ind w:firstLine="720"/>
        <w:jc w:val="both"/>
      </w:pPr>
      <w:r>
        <w:rPr>
          <w:u w:val="single"/>
        </w:rPr>
        <w:t>Compensation Consultants, Legal Counsel and Other Advisors</w:t>
      </w:r>
      <w:r>
        <w:t>.</w:t>
      </w:r>
      <w:r>
        <w:rPr>
          <w:spacing w:val="40"/>
        </w:rPr>
        <w:t xml:space="preserve"> </w:t>
      </w:r>
      <w:r>
        <w:t>The Committee may select a compensation consultant, legal counsel (other than in-house legal counsel) or other adviser to the Committee, an</w:t>
      </w:r>
      <w:r>
        <w:t>d may receive advice therefrom, only after considering the factors set forth in Rule 10C- 1(b)(4) under the Exchange Act, as well as any other factors identified by applicable listing standards.</w:t>
      </w:r>
    </w:p>
    <w:p w14:paraId="790803E6" w14:textId="77777777" w:rsidR="00E8490C" w:rsidRDefault="00E8490C">
      <w:pPr>
        <w:pStyle w:val="BodyText"/>
        <w:spacing w:before="9"/>
        <w:rPr>
          <w:sz w:val="21"/>
        </w:rPr>
      </w:pPr>
    </w:p>
    <w:p w14:paraId="790803E7" w14:textId="77777777" w:rsidR="00E8490C" w:rsidRDefault="007838C5">
      <w:pPr>
        <w:pStyle w:val="ListParagraph"/>
        <w:numPr>
          <w:ilvl w:val="0"/>
          <w:numId w:val="2"/>
        </w:numPr>
        <w:tabs>
          <w:tab w:val="left" w:pos="820"/>
        </w:tabs>
        <w:ind w:right="0" w:hanging="720"/>
        <w:rPr>
          <w:b/>
        </w:rPr>
      </w:pPr>
      <w:r>
        <w:rPr>
          <w:b/>
          <w:color w:val="333333"/>
          <w:spacing w:val="-2"/>
        </w:rPr>
        <w:t>Responsibility</w:t>
      </w:r>
    </w:p>
    <w:p w14:paraId="790803E8" w14:textId="77777777" w:rsidR="00E8490C" w:rsidRDefault="00E8490C">
      <w:pPr>
        <w:pStyle w:val="BodyText"/>
        <w:spacing w:before="10"/>
        <w:rPr>
          <w:b/>
          <w:sz w:val="20"/>
        </w:rPr>
      </w:pPr>
    </w:p>
    <w:p w14:paraId="790803E9" w14:textId="77777777" w:rsidR="00E8490C" w:rsidRDefault="007838C5">
      <w:pPr>
        <w:pStyle w:val="BodyText"/>
        <w:spacing w:before="1"/>
        <w:ind w:left="100" w:right="119"/>
        <w:jc w:val="both"/>
      </w:pPr>
      <w:r>
        <w:t>In furtherance of its purpose, the Committee</w:t>
      </w:r>
      <w:r>
        <w:t xml:space="preserve"> shall have the following responsibilities, with the understanding, however, that the Committee may supplement and, except as otherwise required by applicable law or the requirements of applicable stock exchanges, conduct activities not specifically descri</w:t>
      </w:r>
      <w:r>
        <w:t>bed herein but instrumental in achieving its responsibilities under the circumstances:</w:t>
      </w:r>
    </w:p>
    <w:p w14:paraId="790803EA" w14:textId="77777777" w:rsidR="00E8490C" w:rsidRDefault="00E8490C">
      <w:pPr>
        <w:pStyle w:val="BodyText"/>
        <w:spacing w:before="4"/>
        <w:rPr>
          <w:sz w:val="21"/>
        </w:rPr>
      </w:pPr>
    </w:p>
    <w:p w14:paraId="790803EB" w14:textId="77777777" w:rsidR="00E8490C" w:rsidRDefault="007838C5">
      <w:pPr>
        <w:pStyle w:val="ListParagraph"/>
        <w:numPr>
          <w:ilvl w:val="1"/>
          <w:numId w:val="2"/>
        </w:numPr>
        <w:tabs>
          <w:tab w:val="left" w:pos="1539"/>
        </w:tabs>
        <w:ind w:right="119" w:firstLine="720"/>
        <w:jc w:val="both"/>
      </w:pPr>
      <w:r>
        <w:rPr>
          <w:u w:val="single"/>
        </w:rPr>
        <w:t>Compensation Goals</w:t>
      </w:r>
      <w:r>
        <w:t>.</w:t>
      </w:r>
      <w:r>
        <w:rPr>
          <w:spacing w:val="40"/>
        </w:rPr>
        <w:t xml:space="preserve"> </w:t>
      </w:r>
      <w:r>
        <w:t xml:space="preserve">To make recommendations to the independent members of the Board with respect to the overall corporate policies, </w:t>
      </w:r>
      <w:proofErr w:type="gramStart"/>
      <w:r>
        <w:t>goals</w:t>
      </w:r>
      <w:proofErr w:type="gramEnd"/>
      <w:r>
        <w:t xml:space="preserve"> and objectives for the compens</w:t>
      </w:r>
      <w:r>
        <w:t>ation of the Company’s CEO and Senior Officers, including:</w:t>
      </w:r>
    </w:p>
    <w:p w14:paraId="790803EC" w14:textId="77777777" w:rsidR="00E8490C" w:rsidRDefault="00E8490C">
      <w:pPr>
        <w:pStyle w:val="BodyText"/>
        <w:spacing w:before="3"/>
        <w:rPr>
          <w:sz w:val="21"/>
        </w:rPr>
      </w:pPr>
    </w:p>
    <w:p w14:paraId="790803ED" w14:textId="77777777" w:rsidR="00E8490C" w:rsidRDefault="007838C5">
      <w:pPr>
        <w:pStyle w:val="ListParagraph"/>
        <w:numPr>
          <w:ilvl w:val="0"/>
          <w:numId w:val="1"/>
        </w:numPr>
        <w:tabs>
          <w:tab w:val="left" w:pos="1540"/>
        </w:tabs>
      </w:pPr>
      <w:r>
        <w:t>reviewing and making recommendations to the full Board regarding corporate performance</w:t>
      </w:r>
      <w:r>
        <w:rPr>
          <w:spacing w:val="-4"/>
        </w:rPr>
        <w:t xml:space="preserve"> </w:t>
      </w:r>
      <w:r>
        <w:t>goals</w:t>
      </w:r>
      <w:r>
        <w:rPr>
          <w:spacing w:val="-4"/>
        </w:rPr>
        <w:t xml:space="preserve"> </w:t>
      </w:r>
      <w:r>
        <w:t>and</w:t>
      </w:r>
      <w:r>
        <w:rPr>
          <w:spacing w:val="-3"/>
        </w:rPr>
        <w:t xml:space="preserve"> </w:t>
      </w:r>
      <w:r>
        <w:t>objectives,</w:t>
      </w:r>
      <w:r>
        <w:rPr>
          <w:spacing w:val="-4"/>
        </w:rPr>
        <w:t xml:space="preserve"> </w:t>
      </w:r>
      <w:r>
        <w:t>which</w:t>
      </w:r>
      <w:r>
        <w:rPr>
          <w:spacing w:val="-3"/>
        </w:rPr>
        <w:t xml:space="preserve"> </w:t>
      </w:r>
      <w:r>
        <w:t>shall</w:t>
      </w:r>
      <w:r>
        <w:rPr>
          <w:spacing w:val="-3"/>
        </w:rPr>
        <w:t xml:space="preserve"> </w:t>
      </w:r>
      <w:r>
        <w:t>support</w:t>
      </w:r>
      <w:r>
        <w:rPr>
          <w:spacing w:val="-4"/>
        </w:rPr>
        <w:t xml:space="preserve"> </w:t>
      </w:r>
      <w:r>
        <w:t>and</w:t>
      </w:r>
      <w:r>
        <w:rPr>
          <w:spacing w:val="-3"/>
        </w:rPr>
        <w:t xml:space="preserve"> </w:t>
      </w:r>
      <w:r>
        <w:t>reinforce</w:t>
      </w:r>
      <w:r>
        <w:rPr>
          <w:spacing w:val="-4"/>
        </w:rPr>
        <w:t xml:space="preserve"> </w:t>
      </w:r>
      <w:r>
        <w:t>the</w:t>
      </w:r>
      <w:r>
        <w:rPr>
          <w:spacing w:val="-4"/>
        </w:rPr>
        <w:t xml:space="preserve"> </w:t>
      </w:r>
      <w:r>
        <w:t>Company’s</w:t>
      </w:r>
      <w:r>
        <w:rPr>
          <w:spacing w:val="-4"/>
        </w:rPr>
        <w:t xml:space="preserve"> </w:t>
      </w:r>
      <w:r>
        <w:t xml:space="preserve">long- term strategic goals, relevant to the compensation of the Company’s executive </w:t>
      </w:r>
      <w:proofErr w:type="gramStart"/>
      <w:r>
        <w:t>officers;</w:t>
      </w:r>
      <w:proofErr w:type="gramEnd"/>
    </w:p>
    <w:p w14:paraId="790803EE" w14:textId="77777777" w:rsidR="00E8490C" w:rsidRDefault="00E8490C">
      <w:pPr>
        <w:pStyle w:val="BodyText"/>
        <w:spacing w:before="2"/>
        <w:rPr>
          <w:sz w:val="21"/>
        </w:rPr>
      </w:pPr>
    </w:p>
    <w:p w14:paraId="790803EF" w14:textId="77777777" w:rsidR="00E8490C" w:rsidRDefault="007838C5">
      <w:pPr>
        <w:pStyle w:val="ListParagraph"/>
        <w:numPr>
          <w:ilvl w:val="0"/>
          <w:numId w:val="1"/>
        </w:numPr>
        <w:tabs>
          <w:tab w:val="left" w:pos="1540"/>
        </w:tabs>
        <w:ind w:right="118"/>
      </w:pPr>
      <w:r>
        <w:t>evaluating and approving (or, if it deems appropriate, making recommendations to the</w:t>
      </w:r>
      <w:r>
        <w:rPr>
          <w:spacing w:val="40"/>
        </w:rPr>
        <w:t xml:space="preserve"> </w:t>
      </w:r>
      <w:r>
        <w:t xml:space="preserve">full Board regarding) the compensation plans and programs advisable for the Company, as well as the modification or termination of existing plans and </w:t>
      </w:r>
      <w:proofErr w:type="gramStart"/>
      <w:r>
        <w:t>programs;</w:t>
      </w:r>
      <w:proofErr w:type="gramEnd"/>
    </w:p>
    <w:p w14:paraId="790803F0" w14:textId="77777777" w:rsidR="00E8490C" w:rsidRDefault="00E8490C">
      <w:pPr>
        <w:pStyle w:val="BodyText"/>
        <w:spacing w:before="1"/>
        <w:rPr>
          <w:sz w:val="21"/>
        </w:rPr>
      </w:pPr>
    </w:p>
    <w:p w14:paraId="790803F1" w14:textId="77777777" w:rsidR="00E8490C" w:rsidRDefault="007838C5">
      <w:pPr>
        <w:pStyle w:val="ListParagraph"/>
        <w:numPr>
          <w:ilvl w:val="0"/>
          <w:numId w:val="1"/>
        </w:numPr>
        <w:tabs>
          <w:tab w:val="left" w:pos="1540"/>
        </w:tabs>
        <w:spacing w:before="1"/>
      </w:pPr>
      <w:r>
        <w:t>establishing policies with respect to equity compensation arrangements, with the</w:t>
      </w:r>
      <w:r>
        <w:rPr>
          <w:spacing w:val="40"/>
        </w:rPr>
        <w:t xml:space="preserve"> </w:t>
      </w:r>
      <w:r>
        <w:t>objective of a</w:t>
      </w:r>
      <w:r>
        <w:t xml:space="preserve">ppropriately balancing the perceived value of equity compensation and the dilutive and other costs of that compensation to the </w:t>
      </w:r>
      <w:proofErr w:type="gramStart"/>
      <w:r>
        <w:t>Company;</w:t>
      </w:r>
      <w:proofErr w:type="gramEnd"/>
    </w:p>
    <w:p w14:paraId="790803F2" w14:textId="77777777" w:rsidR="00E8490C" w:rsidRDefault="00E8490C">
      <w:pPr>
        <w:pStyle w:val="BodyText"/>
        <w:spacing w:before="1"/>
        <w:rPr>
          <w:sz w:val="21"/>
        </w:rPr>
      </w:pPr>
    </w:p>
    <w:p w14:paraId="790803F3" w14:textId="77777777" w:rsidR="00E8490C" w:rsidRDefault="007838C5">
      <w:pPr>
        <w:pStyle w:val="ListParagraph"/>
        <w:numPr>
          <w:ilvl w:val="0"/>
          <w:numId w:val="1"/>
        </w:numPr>
        <w:tabs>
          <w:tab w:val="left" w:pos="1540"/>
        </w:tabs>
      </w:pPr>
      <w:r>
        <w:t>establishing policies for allocating between long-term and currently paid-out compensation, between cash and non-cash c</w:t>
      </w:r>
      <w:r>
        <w:t xml:space="preserve">ompensation and the factors used in deciding between the various forms of </w:t>
      </w:r>
      <w:proofErr w:type="gramStart"/>
      <w:r>
        <w:t>compensation;</w:t>
      </w:r>
      <w:proofErr w:type="gramEnd"/>
    </w:p>
    <w:p w14:paraId="790803F4" w14:textId="77777777" w:rsidR="00E8490C" w:rsidRDefault="00E8490C">
      <w:pPr>
        <w:jc w:val="both"/>
        <w:sectPr w:rsidR="00E8490C">
          <w:footerReference w:type="default" r:id="rId8"/>
          <w:pgSz w:w="12240" w:h="15840"/>
          <w:pgMar w:top="1660" w:right="1320" w:bottom="1140" w:left="1340" w:header="0" w:footer="952" w:gutter="0"/>
          <w:pgNumType w:start="3"/>
          <w:cols w:space="720"/>
        </w:sectPr>
      </w:pPr>
    </w:p>
    <w:p w14:paraId="790803F5" w14:textId="77777777" w:rsidR="00E8490C" w:rsidRDefault="007838C5">
      <w:pPr>
        <w:pStyle w:val="ListParagraph"/>
        <w:numPr>
          <w:ilvl w:val="0"/>
          <w:numId w:val="1"/>
        </w:numPr>
        <w:tabs>
          <w:tab w:val="left" w:pos="1540"/>
        </w:tabs>
        <w:spacing w:before="87"/>
        <w:ind w:right="125"/>
      </w:pPr>
      <w:r>
        <w:lastRenderedPageBreak/>
        <w:t xml:space="preserve">establishing elements of corporate performance for purposes of increasing or decreasing </w:t>
      </w:r>
      <w:proofErr w:type="gramStart"/>
      <w:r>
        <w:rPr>
          <w:spacing w:val="-2"/>
        </w:rPr>
        <w:t>compensation;</w:t>
      </w:r>
      <w:proofErr w:type="gramEnd"/>
    </w:p>
    <w:p w14:paraId="790803F6" w14:textId="77777777" w:rsidR="00E8490C" w:rsidRDefault="00E8490C">
      <w:pPr>
        <w:pStyle w:val="BodyText"/>
        <w:spacing w:before="1"/>
        <w:rPr>
          <w:sz w:val="21"/>
        </w:rPr>
      </w:pPr>
    </w:p>
    <w:p w14:paraId="790803F7" w14:textId="77777777" w:rsidR="00E8490C" w:rsidRDefault="007838C5">
      <w:pPr>
        <w:pStyle w:val="ListParagraph"/>
        <w:numPr>
          <w:ilvl w:val="0"/>
          <w:numId w:val="1"/>
        </w:numPr>
        <w:tabs>
          <w:tab w:val="left" w:pos="1540"/>
        </w:tabs>
      </w:pPr>
      <w:r>
        <w:t>establis</w:t>
      </w:r>
      <w:r>
        <w:t xml:space="preserve">hing policies on the timing and pricing of equity awards for newly hired employees, promotions and annual grants for executives and non-executive employees and </w:t>
      </w:r>
      <w:proofErr w:type="gramStart"/>
      <w:r>
        <w:t>directors;</w:t>
      </w:r>
      <w:proofErr w:type="gramEnd"/>
    </w:p>
    <w:p w14:paraId="790803F8" w14:textId="77777777" w:rsidR="00E8490C" w:rsidRDefault="00E8490C">
      <w:pPr>
        <w:pStyle w:val="BodyText"/>
        <w:spacing w:before="2"/>
        <w:rPr>
          <w:sz w:val="21"/>
        </w:rPr>
      </w:pPr>
    </w:p>
    <w:p w14:paraId="790803F9" w14:textId="77777777" w:rsidR="00E8490C" w:rsidRDefault="007838C5">
      <w:pPr>
        <w:pStyle w:val="ListParagraph"/>
        <w:numPr>
          <w:ilvl w:val="0"/>
          <w:numId w:val="1"/>
        </w:numPr>
        <w:tabs>
          <w:tab w:val="left" w:pos="1540"/>
        </w:tabs>
        <w:ind w:right="120"/>
      </w:pPr>
      <w:r>
        <w:t xml:space="preserve">reviewing regional and industry-wide compensation practices and trends to </w:t>
      </w:r>
      <w:r>
        <w:t>assess the propriety, adequacy and competitiveness of the Company’s executive compensation programs among comparable companies in the Company’s industry; however, the Committee</w:t>
      </w:r>
      <w:r>
        <w:rPr>
          <w:spacing w:val="-2"/>
        </w:rPr>
        <w:t xml:space="preserve"> </w:t>
      </w:r>
      <w:r>
        <w:t>shall</w:t>
      </w:r>
      <w:r>
        <w:rPr>
          <w:spacing w:val="-2"/>
        </w:rPr>
        <w:t xml:space="preserve"> </w:t>
      </w:r>
      <w:r>
        <w:t>exercise</w:t>
      </w:r>
      <w:r>
        <w:rPr>
          <w:spacing w:val="-3"/>
        </w:rPr>
        <w:t xml:space="preserve"> </w:t>
      </w:r>
      <w:r>
        <w:t>independent</w:t>
      </w:r>
      <w:r>
        <w:rPr>
          <w:spacing w:val="-2"/>
        </w:rPr>
        <w:t xml:space="preserve"> </w:t>
      </w:r>
      <w:r>
        <w:t>judgment</w:t>
      </w:r>
      <w:r>
        <w:rPr>
          <w:spacing w:val="-2"/>
        </w:rPr>
        <w:t xml:space="preserve"> </w:t>
      </w:r>
      <w:r>
        <w:t>in</w:t>
      </w:r>
      <w:r>
        <w:rPr>
          <w:spacing w:val="-2"/>
        </w:rPr>
        <w:t xml:space="preserve"> </w:t>
      </w:r>
      <w:r>
        <w:t>determining</w:t>
      </w:r>
      <w:r>
        <w:rPr>
          <w:spacing w:val="-3"/>
        </w:rPr>
        <w:t xml:space="preserve"> </w:t>
      </w:r>
      <w:r>
        <w:t>the</w:t>
      </w:r>
      <w:r>
        <w:rPr>
          <w:spacing w:val="-4"/>
        </w:rPr>
        <w:t xml:space="preserve"> </w:t>
      </w:r>
      <w:r>
        <w:t>appropriate</w:t>
      </w:r>
      <w:r>
        <w:rPr>
          <w:spacing w:val="-4"/>
        </w:rPr>
        <w:t xml:space="preserve"> </w:t>
      </w:r>
      <w:r>
        <w:t>levels</w:t>
      </w:r>
      <w:r>
        <w:rPr>
          <w:spacing w:val="-3"/>
        </w:rPr>
        <w:t xml:space="preserve"> </w:t>
      </w:r>
      <w:r>
        <w:t>and t</w:t>
      </w:r>
      <w:r>
        <w:t xml:space="preserve">ypes of compensation to be </w:t>
      </w:r>
      <w:proofErr w:type="gramStart"/>
      <w:r>
        <w:t>paid;</w:t>
      </w:r>
      <w:proofErr w:type="gramEnd"/>
    </w:p>
    <w:p w14:paraId="790803FA" w14:textId="77777777" w:rsidR="00E8490C" w:rsidRDefault="00E8490C">
      <w:pPr>
        <w:pStyle w:val="BodyText"/>
        <w:spacing w:before="4"/>
        <w:rPr>
          <w:sz w:val="21"/>
        </w:rPr>
      </w:pPr>
    </w:p>
    <w:p w14:paraId="790803FB" w14:textId="77777777" w:rsidR="00E8490C" w:rsidRDefault="007838C5">
      <w:pPr>
        <w:pStyle w:val="ListParagraph"/>
        <w:numPr>
          <w:ilvl w:val="0"/>
          <w:numId w:val="1"/>
        </w:numPr>
        <w:tabs>
          <w:tab w:val="left" w:pos="1540"/>
        </w:tabs>
        <w:spacing w:before="1"/>
        <w:ind w:right="0"/>
        <w:jc w:val="left"/>
      </w:pPr>
      <w:r>
        <w:t>establishing</w:t>
      </w:r>
      <w:r>
        <w:rPr>
          <w:spacing w:val="-7"/>
        </w:rPr>
        <w:t xml:space="preserve"> </w:t>
      </w:r>
      <w:r>
        <w:t>and</w:t>
      </w:r>
      <w:r>
        <w:rPr>
          <w:spacing w:val="-7"/>
        </w:rPr>
        <w:t xml:space="preserve"> </w:t>
      </w:r>
      <w:r>
        <w:t>periodically</w:t>
      </w:r>
      <w:r>
        <w:rPr>
          <w:spacing w:val="-6"/>
        </w:rPr>
        <w:t xml:space="preserve"> </w:t>
      </w:r>
      <w:r>
        <w:t>assessing</w:t>
      </w:r>
      <w:r>
        <w:rPr>
          <w:spacing w:val="-6"/>
        </w:rPr>
        <w:t xml:space="preserve"> </w:t>
      </w:r>
      <w:r>
        <w:t>the</w:t>
      </w:r>
      <w:r>
        <w:rPr>
          <w:spacing w:val="-8"/>
        </w:rPr>
        <w:t xml:space="preserve"> </w:t>
      </w:r>
      <w:r>
        <w:t>adequacy</w:t>
      </w:r>
      <w:r>
        <w:rPr>
          <w:spacing w:val="-6"/>
        </w:rPr>
        <w:t xml:space="preserve"> </w:t>
      </w:r>
      <w:r>
        <w:t>of</w:t>
      </w:r>
      <w:r>
        <w:rPr>
          <w:spacing w:val="-8"/>
        </w:rPr>
        <w:t xml:space="preserve"> </w:t>
      </w:r>
      <w:r>
        <w:t>director</w:t>
      </w:r>
      <w:r>
        <w:rPr>
          <w:spacing w:val="-7"/>
        </w:rPr>
        <w:t xml:space="preserve"> </w:t>
      </w:r>
      <w:proofErr w:type="gramStart"/>
      <w:r>
        <w:rPr>
          <w:spacing w:val="-2"/>
        </w:rPr>
        <w:t>compensation;</w:t>
      </w:r>
      <w:proofErr w:type="gramEnd"/>
    </w:p>
    <w:p w14:paraId="790803FC" w14:textId="77777777" w:rsidR="00E8490C" w:rsidRDefault="00E8490C">
      <w:pPr>
        <w:pStyle w:val="BodyText"/>
        <w:spacing w:before="10"/>
        <w:rPr>
          <w:sz w:val="20"/>
        </w:rPr>
      </w:pPr>
    </w:p>
    <w:p w14:paraId="790803FD" w14:textId="77777777" w:rsidR="00E8490C" w:rsidRDefault="007838C5">
      <w:pPr>
        <w:pStyle w:val="ListParagraph"/>
        <w:numPr>
          <w:ilvl w:val="0"/>
          <w:numId w:val="1"/>
        </w:numPr>
        <w:tabs>
          <w:tab w:val="left" w:pos="1540"/>
        </w:tabs>
        <w:ind w:right="123"/>
      </w:pPr>
      <w:r>
        <w:t xml:space="preserve">reviewing and making recommendations to the full Board regarding any compensation arrangement for any executive officer involving any </w:t>
      </w:r>
      <w:r>
        <w:t>subsidiary, special purpose or</w:t>
      </w:r>
      <w:r>
        <w:rPr>
          <w:spacing w:val="40"/>
        </w:rPr>
        <w:t xml:space="preserve"> </w:t>
      </w:r>
      <w:r>
        <w:t xml:space="preserve">similar entity, taking into account the potential for conflicts of interest in such arrangements and whether the arrangement has the potential to benefit the </w:t>
      </w:r>
      <w:proofErr w:type="gramStart"/>
      <w:r>
        <w:t>Company;</w:t>
      </w:r>
      <w:proofErr w:type="gramEnd"/>
    </w:p>
    <w:p w14:paraId="790803FE" w14:textId="77777777" w:rsidR="00E8490C" w:rsidRDefault="00E8490C">
      <w:pPr>
        <w:pStyle w:val="BodyText"/>
        <w:spacing w:before="3"/>
        <w:rPr>
          <w:sz w:val="21"/>
        </w:rPr>
      </w:pPr>
    </w:p>
    <w:p w14:paraId="790803FF" w14:textId="77777777" w:rsidR="00E8490C" w:rsidRDefault="007838C5">
      <w:pPr>
        <w:pStyle w:val="ListParagraph"/>
        <w:numPr>
          <w:ilvl w:val="0"/>
          <w:numId w:val="1"/>
        </w:numPr>
        <w:tabs>
          <w:tab w:val="left" w:pos="1540"/>
        </w:tabs>
        <w:ind w:right="124"/>
      </w:pPr>
      <w:r>
        <w:t>considering and, if appropriate, establishing a policy de</w:t>
      </w:r>
      <w:r>
        <w:t xml:space="preserve">signed to encourage executive officers and directors to acquire and hold a meaningful equity interest in the Company; </w:t>
      </w:r>
      <w:r>
        <w:rPr>
          <w:spacing w:val="-4"/>
        </w:rPr>
        <w:t>and</w:t>
      </w:r>
    </w:p>
    <w:p w14:paraId="79080400" w14:textId="77777777" w:rsidR="00E8490C" w:rsidRDefault="00E8490C">
      <w:pPr>
        <w:pStyle w:val="BodyText"/>
        <w:spacing w:before="2"/>
        <w:rPr>
          <w:sz w:val="21"/>
        </w:rPr>
      </w:pPr>
    </w:p>
    <w:p w14:paraId="79080401" w14:textId="77777777" w:rsidR="00E8490C" w:rsidRDefault="007838C5">
      <w:pPr>
        <w:pStyle w:val="ListParagraph"/>
        <w:numPr>
          <w:ilvl w:val="0"/>
          <w:numId w:val="1"/>
        </w:numPr>
        <w:tabs>
          <w:tab w:val="left" w:pos="1540"/>
        </w:tabs>
        <w:ind w:right="126"/>
      </w:pPr>
      <w:r>
        <w:t xml:space="preserve">evaluating the efficacy of the Company’s compensation policy and strategy in achieving </w:t>
      </w:r>
      <w:proofErr w:type="gramStart"/>
      <w:r>
        <w:t>expected</w:t>
      </w:r>
      <w:proofErr w:type="gramEnd"/>
      <w:r>
        <w:t xml:space="preserve"> benefits to the Company and otherwise</w:t>
      </w:r>
      <w:r>
        <w:t xml:space="preserve"> furthering the Committee’s policies.</w:t>
      </w:r>
    </w:p>
    <w:p w14:paraId="79080402" w14:textId="77777777" w:rsidR="00E8490C" w:rsidRDefault="00E8490C">
      <w:pPr>
        <w:pStyle w:val="BodyText"/>
        <w:spacing w:before="1"/>
        <w:rPr>
          <w:sz w:val="21"/>
        </w:rPr>
      </w:pPr>
    </w:p>
    <w:p w14:paraId="79080403" w14:textId="77777777" w:rsidR="00E8490C" w:rsidRDefault="007838C5">
      <w:pPr>
        <w:pStyle w:val="ListParagraph"/>
        <w:numPr>
          <w:ilvl w:val="1"/>
          <w:numId w:val="2"/>
        </w:numPr>
        <w:tabs>
          <w:tab w:val="left" w:pos="1539"/>
        </w:tabs>
        <w:ind w:firstLine="720"/>
        <w:jc w:val="both"/>
      </w:pPr>
      <w:r>
        <w:rPr>
          <w:u w:val="single"/>
        </w:rPr>
        <w:t>Recommend Compensation</w:t>
      </w:r>
      <w:r>
        <w:t>.</w:t>
      </w:r>
      <w:r>
        <w:rPr>
          <w:spacing w:val="40"/>
        </w:rPr>
        <w:t xml:space="preserve"> </w:t>
      </w:r>
      <w:r>
        <w:t xml:space="preserve">Evaluate the performance of the CEO and other Senior Officers </w:t>
      </w:r>
      <w:proofErr w:type="gramStart"/>
      <w:r>
        <w:t>in light of</w:t>
      </w:r>
      <w:proofErr w:type="gramEnd"/>
      <w:r>
        <w:t xml:space="preserve"> the corporate goals and objectives. Make recommendations to the Board with respect to the compensation of the CEO and t</w:t>
      </w:r>
      <w:r>
        <w:t>he compensation of other Senior Officers (including without limitation, “executive officers” as defined in Section 16 of the Exchange Act and Rule 16a-1 thereunder, and “Named Executive Officers” as defined under (</w:t>
      </w:r>
      <w:proofErr w:type="spellStart"/>
      <w:r>
        <w:t>i</w:t>
      </w:r>
      <w:proofErr w:type="spellEnd"/>
      <w:r>
        <w:t>) Form 51-102F6 promulgated under Nationa</w:t>
      </w:r>
      <w:r>
        <w:t>l Instrument 51-102 Continuous Disclosure Obligations and (ii) Item 402 of Regulation S-K under the Exchange Act), including individual elements of salary, bonus, incentive and equity compensation. Make recommendations to the Board regarding the compensati</w:t>
      </w:r>
      <w:r>
        <w:t>on policies for the non-employee directors. The Committee may consult with the CEO in determining its recommendation to the Board for the executive compensation</w:t>
      </w:r>
      <w:r>
        <w:rPr>
          <w:spacing w:val="-1"/>
        </w:rPr>
        <w:t xml:space="preserve"> </w:t>
      </w:r>
      <w:r>
        <w:t>for</w:t>
      </w:r>
      <w:r>
        <w:rPr>
          <w:spacing w:val="-1"/>
        </w:rPr>
        <w:t xml:space="preserve"> </w:t>
      </w:r>
      <w:r>
        <w:t>any</w:t>
      </w:r>
      <w:r>
        <w:rPr>
          <w:spacing w:val="-1"/>
        </w:rPr>
        <w:t xml:space="preserve"> </w:t>
      </w:r>
      <w:r>
        <w:t>Senior</w:t>
      </w:r>
      <w:r>
        <w:rPr>
          <w:spacing w:val="-2"/>
        </w:rPr>
        <w:t xml:space="preserve"> </w:t>
      </w:r>
      <w:r>
        <w:t>Officer</w:t>
      </w:r>
      <w:r>
        <w:rPr>
          <w:spacing w:val="-3"/>
        </w:rPr>
        <w:t xml:space="preserve"> </w:t>
      </w:r>
      <w:r>
        <w:t>other</w:t>
      </w:r>
      <w:r>
        <w:rPr>
          <w:spacing w:val="-3"/>
        </w:rPr>
        <w:t xml:space="preserve"> </w:t>
      </w:r>
      <w:r>
        <w:t>than</w:t>
      </w:r>
      <w:r>
        <w:rPr>
          <w:spacing w:val="-3"/>
        </w:rPr>
        <w:t xml:space="preserve"> </w:t>
      </w:r>
      <w:r>
        <w:t>the</w:t>
      </w:r>
      <w:r>
        <w:rPr>
          <w:spacing w:val="-3"/>
        </w:rPr>
        <w:t xml:space="preserve"> </w:t>
      </w:r>
      <w:r>
        <w:t>CEO. The</w:t>
      </w:r>
      <w:r>
        <w:rPr>
          <w:spacing w:val="-3"/>
        </w:rPr>
        <w:t xml:space="preserve"> </w:t>
      </w:r>
      <w:r>
        <w:t>Company’s</w:t>
      </w:r>
      <w:r>
        <w:rPr>
          <w:spacing w:val="-3"/>
        </w:rPr>
        <w:t xml:space="preserve"> </w:t>
      </w:r>
      <w:r>
        <w:t>CEO</w:t>
      </w:r>
      <w:r>
        <w:rPr>
          <w:spacing w:val="-3"/>
        </w:rPr>
        <w:t xml:space="preserve"> </w:t>
      </w:r>
      <w:r>
        <w:t>may</w:t>
      </w:r>
      <w:r>
        <w:rPr>
          <w:spacing w:val="-1"/>
        </w:rPr>
        <w:t xml:space="preserve"> </w:t>
      </w:r>
      <w:r>
        <w:t>not</w:t>
      </w:r>
      <w:r>
        <w:rPr>
          <w:spacing w:val="-2"/>
        </w:rPr>
        <w:t xml:space="preserve"> </w:t>
      </w:r>
      <w:r>
        <w:t>be</w:t>
      </w:r>
      <w:r>
        <w:rPr>
          <w:spacing w:val="-3"/>
        </w:rPr>
        <w:t xml:space="preserve"> </w:t>
      </w:r>
      <w:r>
        <w:t>present</w:t>
      </w:r>
      <w:r>
        <w:rPr>
          <w:spacing w:val="-2"/>
        </w:rPr>
        <w:t xml:space="preserve"> </w:t>
      </w:r>
      <w:r>
        <w:t>during the vote</w:t>
      </w:r>
      <w:r>
        <w:t xml:space="preserve"> or deliberations regarding his or her compensation.</w:t>
      </w:r>
    </w:p>
    <w:p w14:paraId="79080404" w14:textId="77777777" w:rsidR="00E8490C" w:rsidRDefault="00E8490C">
      <w:pPr>
        <w:pStyle w:val="BodyText"/>
        <w:spacing w:before="3"/>
      </w:pPr>
    </w:p>
    <w:p w14:paraId="79080405" w14:textId="77777777" w:rsidR="00E8490C" w:rsidRDefault="007838C5">
      <w:pPr>
        <w:pStyle w:val="ListParagraph"/>
        <w:numPr>
          <w:ilvl w:val="1"/>
          <w:numId w:val="2"/>
        </w:numPr>
        <w:tabs>
          <w:tab w:val="left" w:pos="1539"/>
        </w:tabs>
        <w:ind w:right="118" w:firstLine="720"/>
        <w:jc w:val="both"/>
      </w:pPr>
      <w:r>
        <w:rPr>
          <w:u w:val="single"/>
        </w:rPr>
        <w:t>Senior Officer Contracts</w:t>
      </w:r>
      <w:r>
        <w:t>.</w:t>
      </w:r>
      <w:r>
        <w:rPr>
          <w:spacing w:val="40"/>
        </w:rPr>
        <w:t xml:space="preserve"> </w:t>
      </w:r>
      <w:r>
        <w:t xml:space="preserve">Make recommendations to the Board with respect to all employment agreements, separation and severance agreements, and other compensatory contracts, arrangement, </w:t>
      </w:r>
      <w:proofErr w:type="gramStart"/>
      <w:r>
        <w:t>prerequisites</w:t>
      </w:r>
      <w:proofErr w:type="gramEnd"/>
      <w:r>
        <w:t xml:space="preserve"> a</w:t>
      </w:r>
      <w:r>
        <w:t>nd payments for Senior Officers to ensure such agreements are consistent</w:t>
      </w:r>
      <w:r>
        <w:rPr>
          <w:spacing w:val="40"/>
        </w:rPr>
        <w:t xml:space="preserve"> </w:t>
      </w:r>
      <w:r>
        <w:t>with the Company’s general compensation goals.</w:t>
      </w:r>
    </w:p>
    <w:p w14:paraId="79080406" w14:textId="77777777" w:rsidR="00E8490C" w:rsidRDefault="00E8490C">
      <w:pPr>
        <w:pStyle w:val="BodyText"/>
        <w:spacing w:before="4"/>
        <w:rPr>
          <w:sz w:val="21"/>
        </w:rPr>
      </w:pPr>
    </w:p>
    <w:p w14:paraId="79080407" w14:textId="77777777" w:rsidR="00E8490C" w:rsidRDefault="007838C5">
      <w:pPr>
        <w:pStyle w:val="ListParagraph"/>
        <w:numPr>
          <w:ilvl w:val="1"/>
          <w:numId w:val="2"/>
        </w:numPr>
        <w:tabs>
          <w:tab w:val="left" w:pos="1539"/>
        </w:tabs>
        <w:ind w:right="121" w:firstLine="720"/>
        <w:jc w:val="both"/>
      </w:pPr>
      <w:r>
        <w:rPr>
          <w:u w:val="single"/>
        </w:rPr>
        <w:t>Equity Plan Awards</w:t>
      </w:r>
      <w:r>
        <w:t>.</w:t>
      </w:r>
      <w:r>
        <w:rPr>
          <w:spacing w:val="40"/>
        </w:rPr>
        <w:t xml:space="preserve"> </w:t>
      </w:r>
      <w:r>
        <w:t>Make recommendations to the Board with respect to the grant of incentive share options to the Company’s employees, officers, consultants and directors, under the Company’s option plans, share appreciation plans, bonus plans, deferred compensation plans and</w:t>
      </w:r>
      <w:r>
        <w:t xml:space="preserve"> </w:t>
      </w:r>
      <w:proofErr w:type="gramStart"/>
      <w:r>
        <w:t>similar</w:t>
      </w:r>
      <w:proofErr w:type="gramEnd"/>
    </w:p>
    <w:p w14:paraId="79080408" w14:textId="77777777" w:rsidR="00E8490C" w:rsidRDefault="00E8490C">
      <w:pPr>
        <w:jc w:val="both"/>
        <w:sectPr w:rsidR="00E8490C">
          <w:pgSz w:w="12240" w:h="15840"/>
          <w:pgMar w:top="1640" w:right="1320" w:bottom="1140" w:left="1340" w:header="0" w:footer="952" w:gutter="0"/>
          <w:cols w:space="720"/>
        </w:sectPr>
      </w:pPr>
    </w:p>
    <w:p w14:paraId="79080409" w14:textId="77777777" w:rsidR="00E8490C" w:rsidRDefault="007838C5">
      <w:pPr>
        <w:pStyle w:val="BodyText"/>
        <w:spacing w:before="68"/>
        <w:ind w:left="100"/>
      </w:pPr>
      <w:r>
        <w:lastRenderedPageBreak/>
        <w:t>programs.</w:t>
      </w:r>
      <w:r>
        <w:rPr>
          <w:spacing w:val="21"/>
        </w:rPr>
        <w:t xml:space="preserve"> </w:t>
      </w:r>
      <w:r>
        <w:t>Make recommendations to the Board with respect to amendments to or terminations of such</w:t>
      </w:r>
      <w:r>
        <w:rPr>
          <w:spacing w:val="80"/>
        </w:rPr>
        <w:t xml:space="preserve"> </w:t>
      </w:r>
      <w:r>
        <w:t xml:space="preserve">plans and the implementation of any other </w:t>
      </w:r>
      <w:proofErr w:type="gramStart"/>
      <w:r>
        <w:t>equity based</w:t>
      </w:r>
      <w:proofErr w:type="gramEnd"/>
      <w:r>
        <w:t xml:space="preserve"> compensation plan.</w:t>
      </w:r>
    </w:p>
    <w:p w14:paraId="7908040A" w14:textId="77777777" w:rsidR="00E8490C" w:rsidRDefault="00E8490C">
      <w:pPr>
        <w:pStyle w:val="BodyText"/>
        <w:spacing w:before="1"/>
        <w:rPr>
          <w:sz w:val="21"/>
        </w:rPr>
      </w:pPr>
    </w:p>
    <w:p w14:paraId="7908040B" w14:textId="77777777" w:rsidR="00E8490C" w:rsidRDefault="007838C5">
      <w:pPr>
        <w:pStyle w:val="ListParagraph"/>
        <w:numPr>
          <w:ilvl w:val="1"/>
          <w:numId w:val="2"/>
        </w:numPr>
        <w:tabs>
          <w:tab w:val="left" w:pos="1539"/>
        </w:tabs>
        <w:ind w:right="119" w:firstLine="720"/>
        <w:jc w:val="both"/>
      </w:pPr>
      <w:r>
        <w:rPr>
          <w:u w:val="single"/>
        </w:rPr>
        <w:t>Insurance Coverage</w:t>
      </w:r>
      <w:r>
        <w:t>.</w:t>
      </w:r>
      <w:r>
        <w:rPr>
          <w:spacing w:val="40"/>
        </w:rPr>
        <w:t xml:space="preserve"> </w:t>
      </w:r>
      <w:r>
        <w:t xml:space="preserve">The Committee shall review and make </w:t>
      </w:r>
      <w:r>
        <w:t>recommendations to the Board concerning the appropriate insurance coverage for the Company’s directors and executive officers.</w:t>
      </w:r>
    </w:p>
    <w:p w14:paraId="7908040C" w14:textId="77777777" w:rsidR="00E8490C" w:rsidRDefault="00E8490C">
      <w:pPr>
        <w:pStyle w:val="BodyText"/>
        <w:spacing w:before="1"/>
        <w:rPr>
          <w:sz w:val="21"/>
        </w:rPr>
      </w:pPr>
    </w:p>
    <w:p w14:paraId="7908040D" w14:textId="77777777" w:rsidR="00E8490C" w:rsidRDefault="007838C5">
      <w:pPr>
        <w:pStyle w:val="ListParagraph"/>
        <w:numPr>
          <w:ilvl w:val="1"/>
          <w:numId w:val="2"/>
        </w:numPr>
        <w:tabs>
          <w:tab w:val="left" w:pos="1539"/>
        </w:tabs>
        <w:spacing w:before="1"/>
        <w:ind w:firstLine="720"/>
        <w:jc w:val="both"/>
      </w:pPr>
      <w:r>
        <w:rPr>
          <w:u w:val="single"/>
        </w:rPr>
        <w:t>Evaluate Incentive-Compensation and Equity-Based Plans</w:t>
      </w:r>
      <w:r>
        <w:t>.</w:t>
      </w:r>
      <w:r>
        <w:rPr>
          <w:spacing w:val="40"/>
        </w:rPr>
        <w:t xml:space="preserve"> </w:t>
      </w:r>
      <w:r>
        <w:t>Periodically review and</w:t>
      </w:r>
      <w:r>
        <w:rPr>
          <w:spacing w:val="80"/>
        </w:rPr>
        <w:t xml:space="preserve"> </w:t>
      </w:r>
      <w:r>
        <w:t>make recommendations to the Board concerning the</w:t>
      </w:r>
      <w:r>
        <w:t xml:space="preserve"> Company’s incentive-compensation and equity- based plans. Ensure that all equity-compensation plans and material revisions to such plans are approved by the Company’s shareholders. As requested from time to time by the Board, review and make recommendatio</w:t>
      </w:r>
      <w:r>
        <w:t>ns regarding any exception to the shareholder approval requirement permitted by law and stock exchange requirements and with respect to any change to the Company’s compensation and benefit plans involving a material annual change in cost to the Company.</w:t>
      </w:r>
    </w:p>
    <w:p w14:paraId="7908040E" w14:textId="77777777" w:rsidR="00E8490C" w:rsidRDefault="00E8490C">
      <w:pPr>
        <w:pStyle w:val="BodyText"/>
        <w:spacing w:before="1"/>
      </w:pPr>
    </w:p>
    <w:p w14:paraId="7908040F" w14:textId="77777777" w:rsidR="00E8490C" w:rsidRDefault="007838C5">
      <w:pPr>
        <w:pStyle w:val="ListParagraph"/>
        <w:numPr>
          <w:ilvl w:val="0"/>
          <w:numId w:val="2"/>
        </w:numPr>
        <w:tabs>
          <w:tab w:val="left" w:pos="820"/>
        </w:tabs>
        <w:ind w:right="0" w:hanging="720"/>
        <w:rPr>
          <w:b/>
        </w:rPr>
      </w:pPr>
      <w:r>
        <w:rPr>
          <w:b/>
          <w:color w:val="333333"/>
        </w:rPr>
        <w:t>C</w:t>
      </w:r>
      <w:r>
        <w:rPr>
          <w:b/>
          <w:color w:val="333333"/>
        </w:rPr>
        <w:t>harter</w:t>
      </w:r>
      <w:r>
        <w:rPr>
          <w:b/>
          <w:color w:val="333333"/>
          <w:spacing w:val="-9"/>
        </w:rPr>
        <w:t xml:space="preserve"> </w:t>
      </w:r>
      <w:r>
        <w:rPr>
          <w:b/>
          <w:color w:val="333333"/>
          <w:spacing w:val="-2"/>
        </w:rPr>
        <w:t>Review</w:t>
      </w:r>
    </w:p>
    <w:p w14:paraId="79080410" w14:textId="77777777" w:rsidR="00E8490C" w:rsidRDefault="00E8490C">
      <w:pPr>
        <w:pStyle w:val="BodyText"/>
        <w:spacing w:before="10"/>
        <w:rPr>
          <w:b/>
          <w:sz w:val="20"/>
        </w:rPr>
      </w:pPr>
    </w:p>
    <w:p w14:paraId="79080411" w14:textId="77777777" w:rsidR="00E8490C" w:rsidRDefault="007838C5">
      <w:pPr>
        <w:pStyle w:val="BodyText"/>
        <w:spacing w:before="1"/>
        <w:ind w:left="100"/>
      </w:pPr>
      <w:r>
        <w:t>The Committee shall review and assess the adequacy of this Charter on a regular basis and recommend to the Board any changes it deems appropriate.</w:t>
      </w:r>
    </w:p>
    <w:p w14:paraId="79080412" w14:textId="77777777" w:rsidR="00E8490C" w:rsidRDefault="00E8490C">
      <w:pPr>
        <w:pStyle w:val="BodyText"/>
        <w:spacing w:before="1"/>
        <w:rPr>
          <w:sz w:val="21"/>
        </w:rPr>
      </w:pPr>
    </w:p>
    <w:p w14:paraId="79080413" w14:textId="77777777" w:rsidR="00E8490C" w:rsidRDefault="007838C5">
      <w:pPr>
        <w:pStyle w:val="BodyText"/>
        <w:ind w:left="100"/>
      </w:pPr>
      <w:r>
        <w:t>The</w:t>
      </w:r>
      <w:r>
        <w:rPr>
          <w:spacing w:val="-3"/>
        </w:rPr>
        <w:t xml:space="preserve"> </w:t>
      </w:r>
      <w:r>
        <w:t>approval</w:t>
      </w:r>
      <w:r>
        <w:rPr>
          <w:spacing w:val="-2"/>
        </w:rPr>
        <w:t xml:space="preserve"> </w:t>
      </w:r>
      <w:r>
        <w:t>of</w:t>
      </w:r>
      <w:r>
        <w:rPr>
          <w:spacing w:val="-2"/>
        </w:rPr>
        <w:t xml:space="preserve"> </w:t>
      </w:r>
      <w:r>
        <w:t>this</w:t>
      </w:r>
      <w:r>
        <w:rPr>
          <w:spacing w:val="-2"/>
        </w:rPr>
        <w:t xml:space="preserve"> </w:t>
      </w:r>
      <w:r>
        <w:t>Compensation Committee</w:t>
      </w:r>
      <w:r>
        <w:rPr>
          <w:spacing w:val="-2"/>
        </w:rPr>
        <w:t xml:space="preserve"> </w:t>
      </w:r>
      <w:r>
        <w:t>Charter</w:t>
      </w:r>
      <w:r>
        <w:rPr>
          <w:spacing w:val="-2"/>
        </w:rPr>
        <w:t xml:space="preserve"> </w:t>
      </w:r>
      <w:r>
        <w:t>shall</w:t>
      </w:r>
      <w:r>
        <w:rPr>
          <w:spacing w:val="-2"/>
        </w:rPr>
        <w:t xml:space="preserve"> </w:t>
      </w:r>
      <w:r>
        <w:t>be</w:t>
      </w:r>
      <w:r>
        <w:rPr>
          <w:spacing w:val="-2"/>
        </w:rPr>
        <w:t xml:space="preserve"> </w:t>
      </w:r>
      <w:r>
        <w:t>construed</w:t>
      </w:r>
      <w:r>
        <w:rPr>
          <w:spacing w:val="-2"/>
        </w:rPr>
        <w:t xml:space="preserve"> </w:t>
      </w:r>
      <w:r>
        <w:t>as</w:t>
      </w:r>
      <w:r>
        <w:rPr>
          <w:spacing w:val="-3"/>
        </w:rPr>
        <w:t xml:space="preserve"> </w:t>
      </w:r>
      <w:r>
        <w:t>delegation</w:t>
      </w:r>
      <w:r>
        <w:rPr>
          <w:spacing w:val="-1"/>
        </w:rPr>
        <w:t xml:space="preserve"> </w:t>
      </w:r>
      <w:r>
        <w:t>of</w:t>
      </w:r>
      <w:r>
        <w:rPr>
          <w:spacing w:val="-2"/>
        </w:rPr>
        <w:t xml:space="preserve"> </w:t>
      </w:r>
      <w:r>
        <w:t>autho</w:t>
      </w:r>
      <w:r>
        <w:t>rity to</w:t>
      </w:r>
      <w:r>
        <w:rPr>
          <w:spacing w:val="-2"/>
        </w:rPr>
        <w:t xml:space="preserve"> </w:t>
      </w:r>
      <w:r>
        <w:t>the Committee with respect to the responsibilities set forth herein.</w:t>
      </w:r>
    </w:p>
    <w:sectPr w:rsidR="00E8490C">
      <w:pgSz w:w="12240" w:h="15840"/>
      <w:pgMar w:top="1660" w:right="1320" w:bottom="1140" w:left="1340" w:header="0" w:footer="9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08203" w14:textId="77777777" w:rsidR="00E8069A" w:rsidRDefault="00E8069A">
      <w:r>
        <w:separator/>
      </w:r>
    </w:p>
  </w:endnote>
  <w:endnote w:type="continuationSeparator" w:id="0">
    <w:p w14:paraId="7D63D213" w14:textId="77777777" w:rsidR="00E8069A" w:rsidRDefault="00E8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0414" w14:textId="77777777" w:rsidR="00E8490C" w:rsidRDefault="007838C5">
    <w:pPr>
      <w:pStyle w:val="BodyText"/>
      <w:spacing w:line="14" w:lineRule="auto"/>
      <w:rPr>
        <w:sz w:val="20"/>
      </w:rPr>
    </w:pPr>
    <w:r>
      <w:rPr>
        <w:noProof/>
      </w:rPr>
      <mc:AlternateContent>
        <mc:Choice Requires="wps">
          <w:drawing>
            <wp:anchor distT="0" distB="0" distL="0" distR="0" simplePos="0" relativeHeight="487520256" behindDoc="1" locked="0" layoutInCell="1" allowOverlap="1" wp14:anchorId="79080416" wp14:editId="79080417">
              <wp:simplePos x="0" y="0"/>
              <wp:positionH relativeFrom="page">
                <wp:posOffset>901700</wp:posOffset>
              </wp:positionH>
              <wp:positionV relativeFrom="page">
                <wp:posOffset>9474567</wp:posOffset>
              </wp:positionV>
              <wp:extent cx="758190" cy="1377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8190" cy="137795"/>
                      </a:xfrm>
                      <a:prstGeom prst="rect">
                        <a:avLst/>
                      </a:prstGeom>
                    </wps:spPr>
                    <wps:txbx>
                      <w:txbxContent>
                        <w:p w14:paraId="7908041C" w14:textId="77777777" w:rsidR="00E8490C" w:rsidRDefault="007838C5">
                          <w:pPr>
                            <w:spacing w:before="13"/>
                            <w:ind w:left="20"/>
                            <w:rPr>
                              <w:sz w:val="16"/>
                            </w:rPr>
                          </w:pPr>
                          <w:r>
                            <w:rPr>
                              <w:spacing w:val="-2"/>
                              <w:sz w:val="16"/>
                            </w:rPr>
                            <w:t>48498|7967204_1</w:t>
                          </w:r>
                        </w:p>
                      </w:txbxContent>
                    </wps:txbx>
                    <wps:bodyPr wrap="square" lIns="0" tIns="0" rIns="0" bIns="0" rtlCol="0">
                      <a:noAutofit/>
                    </wps:bodyPr>
                  </wps:wsp>
                </a:graphicData>
              </a:graphic>
            </wp:anchor>
          </w:drawing>
        </mc:Choice>
        <mc:Fallback>
          <w:pict>
            <v:shapetype w14:anchorId="79080416" id="_x0000_t202" coordsize="21600,21600" o:spt="202" path="m,l,21600r21600,l21600,xe">
              <v:stroke joinstyle="miter"/>
              <v:path gradientshapeok="t" o:connecttype="rect"/>
            </v:shapetype>
            <v:shape id="Textbox 1" o:spid="_x0000_s1026" type="#_x0000_t202" style="position:absolute;margin-left:71pt;margin-top:746.05pt;width:59.7pt;height:10.85pt;z-index:-1579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" filled="f" stroked="f">
              <v:textbox inset="0,0,0,0">
                <w:txbxContent>
                  <w:p w14:paraId="7908041C" w14:textId="77777777" w:rsidR="00E8490C" w:rsidRDefault="007838C5">
                    <w:pPr>
                      <w:spacing w:before="13"/>
                      <w:ind w:left="20"/>
                      <w:rPr>
                        <w:sz w:val="16"/>
                      </w:rPr>
                    </w:pPr>
                    <w:r>
                      <w:rPr>
                        <w:spacing w:val="-2"/>
                        <w:sz w:val="16"/>
                      </w:rPr>
                      <w:t>48498|7967204_1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0415" w14:textId="77777777" w:rsidR="00E8490C" w:rsidRDefault="007838C5">
    <w:pPr>
      <w:pStyle w:val="BodyText"/>
      <w:spacing w:line="14" w:lineRule="auto"/>
      <w:rPr>
        <w:sz w:val="20"/>
      </w:rPr>
    </w:pPr>
    <w:r>
      <w:rPr>
        <w:noProof/>
      </w:rPr>
      <mc:AlternateContent>
        <mc:Choice Requires="wps">
          <w:drawing>
            <wp:anchor distT="0" distB="0" distL="0" distR="0" simplePos="0" relativeHeight="487520768" behindDoc="1" locked="0" layoutInCell="1" allowOverlap="1" wp14:anchorId="79080418" wp14:editId="79080419">
              <wp:simplePos x="0" y="0"/>
              <wp:positionH relativeFrom="page">
                <wp:posOffset>3813302</wp:posOffset>
              </wp:positionH>
              <wp:positionV relativeFrom="page">
                <wp:posOffset>9314123</wp:posOffset>
              </wp:positionV>
              <wp:extent cx="158750"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0340"/>
                      </a:xfrm>
                      <a:prstGeom prst="rect">
                        <a:avLst/>
                      </a:prstGeom>
                    </wps:spPr>
                    <wps:txbx>
                      <w:txbxContent>
                        <w:p w14:paraId="7908041D" w14:textId="77777777" w:rsidR="00E8490C" w:rsidRDefault="007838C5">
                          <w:pPr>
                            <w:pStyle w:val="BodyText"/>
                            <w:spacing w:before="10"/>
                            <w:ind w:left="60"/>
                          </w:pPr>
                          <w:r>
                            <w:rPr>
                              <w:w w:val="99"/>
                            </w:rPr>
                            <w:fldChar w:fldCharType="begin"/>
                          </w:r>
                          <w:r>
                            <w:rPr>
                              <w:w w:val="99"/>
                            </w:rPr>
                            <w:instrText xml:space="preserve"> PAGE </w:instrText>
                          </w:r>
                          <w:r>
                            <w:rPr>
                              <w:w w:val="99"/>
                            </w:rPr>
                            <w:fldChar w:fldCharType="separate"/>
                          </w:r>
                          <w:r>
                            <w:rPr>
                              <w:w w:val="99"/>
                            </w:rPr>
                            <w:t>3</w:t>
                          </w:r>
                          <w:r>
                            <w:rPr>
                              <w:w w:val="99"/>
                            </w:rPr>
                            <w:fldChar w:fldCharType="end"/>
                          </w:r>
                        </w:p>
                      </w:txbxContent>
                    </wps:txbx>
                    <wps:bodyPr wrap="square" lIns="0" tIns="0" rIns="0" bIns="0" rtlCol="0">
                      <a:noAutofit/>
                    </wps:bodyPr>
                  </wps:wsp>
                </a:graphicData>
              </a:graphic>
            </wp:anchor>
          </w:drawing>
        </mc:Choice>
        <mc:Fallback>
          <w:pict>
            <v:shapetype w14:anchorId="79080418" id="_x0000_t202" coordsize="21600,21600" o:spt="202" path="m,l,21600r21600,l21600,xe">
              <v:stroke joinstyle="miter"/>
              <v:path gradientshapeok="t" o:connecttype="rect"/>
            </v:shapetype>
            <v:shape id="Textbox 2" o:spid="_x0000_s1027" type="#_x0000_t202" style="position:absolute;margin-left:300.25pt;margin-top:733.4pt;width:12.5pt;height:14.2pt;z-index:-1579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" filled="f" stroked="f">
              <v:textbox inset="0,0,0,0">
                <w:txbxContent>
                  <w:p w14:paraId="7908041D" w14:textId="77777777" w:rsidR="00E8490C" w:rsidRDefault="007838C5">
                    <w:pPr>
                      <w:pStyle w:val="BodyText"/>
                      <w:spacing w:before="10"/>
                      <w:ind w:left="60"/>
                    </w:pPr>
                    <w:r>
                      <w:rPr>
                        <w:w w:val="99"/>
                      </w:rPr>
                      <w:fldChar w:fldCharType="begin"/>
                    </w:r>
                    <w:r>
                      <w:rPr>
                        <w:w w:val="99"/>
                      </w:rPr>
                      <w:instrText xml:space="preserve"> PAGE </w:instrText>
                    </w:r>
                    <w:r>
                      <w:rPr>
                        <w:w w:val="99"/>
                      </w:rPr>
                      <w:fldChar w:fldCharType="separate"/>
                    </w:r>
                    <w:r>
                      <w:rPr>
                        <w:w w:val="99"/>
                      </w:rPr>
                      <w:t>3</w:t>
                    </w:r>
                    <w:r>
                      <w:rPr>
                        <w:w w:val="99"/>
                      </w:rPr>
                      <w:fldChar w:fldCharType="end"/>
                    </w:r>
                  </w:p>
                </w:txbxContent>
              </v:textbox>
              <w10:wrap anchorx="page" anchory="page"/>
            </v:shape>
          </w:pict>
        </mc:Fallback>
      </mc:AlternateContent>
    </w:r>
    <w:r>
      <w:rPr>
        <w:noProof/>
      </w:rPr>
      <mc:AlternateContent>
        <mc:Choice Requires="wps">
          <w:drawing>
            <wp:anchor distT="0" distB="0" distL="0" distR="0" simplePos="0" relativeHeight="487521280" behindDoc="1" locked="0" layoutInCell="1" allowOverlap="1" wp14:anchorId="7908041A" wp14:editId="7908041B">
              <wp:simplePos x="0" y="0"/>
              <wp:positionH relativeFrom="page">
                <wp:posOffset>901700</wp:posOffset>
              </wp:positionH>
              <wp:positionV relativeFrom="page">
                <wp:posOffset>9474567</wp:posOffset>
              </wp:positionV>
              <wp:extent cx="784225" cy="13779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225" cy="137795"/>
                      </a:xfrm>
                      <a:prstGeom prst="rect">
                        <a:avLst/>
                      </a:prstGeom>
                    </wps:spPr>
                    <wps:txbx>
                      <w:txbxContent>
                        <w:p w14:paraId="7908041E" w14:textId="77777777" w:rsidR="00E8490C" w:rsidRDefault="007838C5">
                          <w:pPr>
                            <w:spacing w:before="13"/>
                            <w:ind w:left="20"/>
                            <w:rPr>
                              <w:sz w:val="16"/>
                            </w:rPr>
                          </w:pPr>
                          <w:r>
                            <w:rPr>
                              <w:spacing w:val="-2"/>
                              <w:sz w:val="16"/>
                            </w:rPr>
                            <w:t>4894-0617-7588\2</w:t>
                          </w:r>
                        </w:p>
                      </w:txbxContent>
                    </wps:txbx>
                    <wps:bodyPr wrap="square" lIns="0" tIns="0" rIns="0" bIns="0" rtlCol="0">
                      <a:noAutofit/>
                    </wps:bodyPr>
                  </wps:wsp>
                </a:graphicData>
              </a:graphic>
            </wp:anchor>
          </w:drawing>
        </mc:Choice>
        <mc:Fallback>
          <w:pict>
            <v:shape w14:anchorId="7908041A" id="Textbox 3" o:spid="_x0000_s1028" type="#_x0000_t202" style="position:absolute;margin-left:71pt;margin-top:746.05pt;width:61.75pt;height:10.85pt;z-index:-1579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" filled="f" stroked="f">
              <v:textbox inset="0,0,0,0">
                <w:txbxContent>
                  <w:p w14:paraId="7908041E" w14:textId="77777777" w:rsidR="00E8490C" w:rsidRDefault="007838C5">
                    <w:pPr>
                      <w:spacing w:before="13"/>
                      <w:ind w:left="20"/>
                      <w:rPr>
                        <w:sz w:val="16"/>
                      </w:rPr>
                    </w:pPr>
                    <w:r>
                      <w:rPr>
                        <w:spacing w:val="-2"/>
                        <w:sz w:val="16"/>
                      </w:rPr>
                      <w:t>4894-0617-7588\2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3C7B2" w14:textId="77777777" w:rsidR="00E8069A" w:rsidRDefault="00E8069A">
      <w:r>
        <w:separator/>
      </w:r>
    </w:p>
  </w:footnote>
  <w:footnote w:type="continuationSeparator" w:id="0">
    <w:p w14:paraId="50218881" w14:textId="77777777" w:rsidR="00E8069A" w:rsidRDefault="00E80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46714"/>
    <w:multiLevelType w:val="hybridMultilevel"/>
    <w:tmpl w:val="7F125718"/>
    <w:lvl w:ilvl="0" w:tplc="947E27D4">
      <w:numFmt w:val="bullet"/>
      <w:lvlText w:val=""/>
      <w:lvlJc w:val="left"/>
      <w:pPr>
        <w:ind w:left="1540" w:hanging="360"/>
      </w:pPr>
      <w:rPr>
        <w:rFonts w:ascii="Symbol" w:eastAsia="Symbol" w:hAnsi="Symbol" w:cs="Symbol" w:hint="default"/>
        <w:b w:val="0"/>
        <w:bCs w:val="0"/>
        <w:i w:val="0"/>
        <w:iCs w:val="0"/>
        <w:spacing w:val="0"/>
        <w:w w:val="99"/>
        <w:sz w:val="22"/>
        <w:szCs w:val="22"/>
        <w:lang w:val="en-US" w:eastAsia="en-US" w:bidi="ar-SA"/>
      </w:rPr>
    </w:lvl>
    <w:lvl w:ilvl="1" w:tplc="7DC8F8BE">
      <w:numFmt w:val="bullet"/>
      <w:lvlText w:val="•"/>
      <w:lvlJc w:val="left"/>
      <w:pPr>
        <w:ind w:left="2344" w:hanging="360"/>
      </w:pPr>
      <w:rPr>
        <w:rFonts w:hint="default"/>
        <w:lang w:val="en-US" w:eastAsia="en-US" w:bidi="ar-SA"/>
      </w:rPr>
    </w:lvl>
    <w:lvl w:ilvl="2" w:tplc="337EF890">
      <w:numFmt w:val="bullet"/>
      <w:lvlText w:val="•"/>
      <w:lvlJc w:val="left"/>
      <w:pPr>
        <w:ind w:left="3148" w:hanging="360"/>
      </w:pPr>
      <w:rPr>
        <w:rFonts w:hint="default"/>
        <w:lang w:val="en-US" w:eastAsia="en-US" w:bidi="ar-SA"/>
      </w:rPr>
    </w:lvl>
    <w:lvl w:ilvl="3" w:tplc="50DEC098">
      <w:numFmt w:val="bullet"/>
      <w:lvlText w:val="•"/>
      <w:lvlJc w:val="left"/>
      <w:pPr>
        <w:ind w:left="3952" w:hanging="360"/>
      </w:pPr>
      <w:rPr>
        <w:rFonts w:hint="default"/>
        <w:lang w:val="en-US" w:eastAsia="en-US" w:bidi="ar-SA"/>
      </w:rPr>
    </w:lvl>
    <w:lvl w:ilvl="4" w:tplc="02C6E808">
      <w:numFmt w:val="bullet"/>
      <w:lvlText w:val="•"/>
      <w:lvlJc w:val="left"/>
      <w:pPr>
        <w:ind w:left="4756" w:hanging="360"/>
      </w:pPr>
      <w:rPr>
        <w:rFonts w:hint="default"/>
        <w:lang w:val="en-US" w:eastAsia="en-US" w:bidi="ar-SA"/>
      </w:rPr>
    </w:lvl>
    <w:lvl w:ilvl="5" w:tplc="F8546CDC">
      <w:numFmt w:val="bullet"/>
      <w:lvlText w:val="•"/>
      <w:lvlJc w:val="left"/>
      <w:pPr>
        <w:ind w:left="5560" w:hanging="360"/>
      </w:pPr>
      <w:rPr>
        <w:rFonts w:hint="default"/>
        <w:lang w:val="en-US" w:eastAsia="en-US" w:bidi="ar-SA"/>
      </w:rPr>
    </w:lvl>
    <w:lvl w:ilvl="6" w:tplc="ABC07AEA">
      <w:numFmt w:val="bullet"/>
      <w:lvlText w:val="•"/>
      <w:lvlJc w:val="left"/>
      <w:pPr>
        <w:ind w:left="6364" w:hanging="360"/>
      </w:pPr>
      <w:rPr>
        <w:rFonts w:hint="default"/>
        <w:lang w:val="en-US" w:eastAsia="en-US" w:bidi="ar-SA"/>
      </w:rPr>
    </w:lvl>
    <w:lvl w:ilvl="7" w:tplc="DE6678D4">
      <w:numFmt w:val="bullet"/>
      <w:lvlText w:val="•"/>
      <w:lvlJc w:val="left"/>
      <w:pPr>
        <w:ind w:left="7168" w:hanging="360"/>
      </w:pPr>
      <w:rPr>
        <w:rFonts w:hint="default"/>
        <w:lang w:val="en-US" w:eastAsia="en-US" w:bidi="ar-SA"/>
      </w:rPr>
    </w:lvl>
    <w:lvl w:ilvl="8" w:tplc="D67AA12A">
      <w:numFmt w:val="bullet"/>
      <w:lvlText w:val="•"/>
      <w:lvlJc w:val="left"/>
      <w:pPr>
        <w:ind w:left="7972" w:hanging="360"/>
      </w:pPr>
      <w:rPr>
        <w:rFonts w:hint="default"/>
        <w:lang w:val="en-US" w:eastAsia="en-US" w:bidi="ar-SA"/>
      </w:rPr>
    </w:lvl>
  </w:abstractNum>
  <w:abstractNum w:abstractNumId="1" w15:restartNumberingAfterBreak="0">
    <w:nsid w:val="4926691F"/>
    <w:multiLevelType w:val="hybridMultilevel"/>
    <w:tmpl w:val="1E843656"/>
    <w:lvl w:ilvl="0" w:tplc="DF8CB298">
      <w:start w:val="1"/>
      <w:numFmt w:val="decimal"/>
      <w:lvlText w:val="%1."/>
      <w:lvlJc w:val="left"/>
      <w:pPr>
        <w:ind w:left="820" w:hanging="721"/>
        <w:jc w:val="left"/>
      </w:pPr>
      <w:rPr>
        <w:rFonts w:ascii="Times New Roman" w:eastAsia="Times New Roman" w:hAnsi="Times New Roman" w:cs="Times New Roman" w:hint="default"/>
        <w:b/>
        <w:bCs/>
        <w:i w:val="0"/>
        <w:iCs w:val="0"/>
        <w:color w:val="333333"/>
        <w:spacing w:val="0"/>
        <w:w w:val="99"/>
        <w:sz w:val="22"/>
        <w:szCs w:val="22"/>
        <w:lang w:val="en-US" w:eastAsia="en-US" w:bidi="ar-SA"/>
      </w:rPr>
    </w:lvl>
    <w:lvl w:ilvl="1" w:tplc="F746BDA2">
      <w:start w:val="1"/>
      <w:numFmt w:val="lowerLetter"/>
      <w:lvlText w:val="(%2)"/>
      <w:lvlJc w:val="left"/>
      <w:pPr>
        <w:ind w:left="100" w:hanging="720"/>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2" w:tplc="72768D78">
      <w:start w:val="1"/>
      <w:numFmt w:val="lowerRoman"/>
      <w:lvlText w:val="(%3)"/>
      <w:lvlJc w:val="left"/>
      <w:pPr>
        <w:ind w:left="100" w:hanging="267"/>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3" w:tplc="BA12C690">
      <w:numFmt w:val="bullet"/>
      <w:lvlText w:val="•"/>
      <w:lvlJc w:val="left"/>
      <w:pPr>
        <w:ind w:left="2766" w:hanging="267"/>
      </w:pPr>
      <w:rPr>
        <w:rFonts w:hint="default"/>
        <w:lang w:val="en-US" w:eastAsia="en-US" w:bidi="ar-SA"/>
      </w:rPr>
    </w:lvl>
    <w:lvl w:ilvl="4" w:tplc="08643E32">
      <w:numFmt w:val="bullet"/>
      <w:lvlText w:val="•"/>
      <w:lvlJc w:val="left"/>
      <w:pPr>
        <w:ind w:left="3740" w:hanging="267"/>
      </w:pPr>
      <w:rPr>
        <w:rFonts w:hint="default"/>
        <w:lang w:val="en-US" w:eastAsia="en-US" w:bidi="ar-SA"/>
      </w:rPr>
    </w:lvl>
    <w:lvl w:ilvl="5" w:tplc="77300342">
      <w:numFmt w:val="bullet"/>
      <w:lvlText w:val="•"/>
      <w:lvlJc w:val="left"/>
      <w:pPr>
        <w:ind w:left="4713" w:hanging="267"/>
      </w:pPr>
      <w:rPr>
        <w:rFonts w:hint="default"/>
        <w:lang w:val="en-US" w:eastAsia="en-US" w:bidi="ar-SA"/>
      </w:rPr>
    </w:lvl>
    <w:lvl w:ilvl="6" w:tplc="74402394">
      <w:numFmt w:val="bullet"/>
      <w:lvlText w:val="•"/>
      <w:lvlJc w:val="left"/>
      <w:pPr>
        <w:ind w:left="5686" w:hanging="267"/>
      </w:pPr>
      <w:rPr>
        <w:rFonts w:hint="default"/>
        <w:lang w:val="en-US" w:eastAsia="en-US" w:bidi="ar-SA"/>
      </w:rPr>
    </w:lvl>
    <w:lvl w:ilvl="7" w:tplc="5E02E9E8">
      <w:numFmt w:val="bullet"/>
      <w:lvlText w:val="•"/>
      <w:lvlJc w:val="left"/>
      <w:pPr>
        <w:ind w:left="6660" w:hanging="267"/>
      </w:pPr>
      <w:rPr>
        <w:rFonts w:hint="default"/>
        <w:lang w:val="en-US" w:eastAsia="en-US" w:bidi="ar-SA"/>
      </w:rPr>
    </w:lvl>
    <w:lvl w:ilvl="8" w:tplc="F1782FDE">
      <w:numFmt w:val="bullet"/>
      <w:lvlText w:val="•"/>
      <w:lvlJc w:val="left"/>
      <w:pPr>
        <w:ind w:left="7633" w:hanging="267"/>
      </w:pPr>
      <w:rPr>
        <w:rFonts w:hint="default"/>
        <w:lang w:val="en-US" w:eastAsia="en-US" w:bidi="ar-SA"/>
      </w:rPr>
    </w:lvl>
  </w:abstractNum>
  <w:num w:numId="1" w16cid:durableId="1058825474">
    <w:abstractNumId w:val="0"/>
  </w:num>
  <w:num w:numId="2" w16cid:durableId="657078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8490C"/>
    <w:rsid w:val="00537E6D"/>
    <w:rsid w:val="007838C5"/>
    <w:rsid w:val="00E8069A"/>
    <w:rsid w:val="00E84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803C2"/>
  <w15:docId w15:val="{98CBB29C-633F-4A23-BF4B-D91D2190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0" w:right="117" w:firstLine="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2224</Words>
  <Characters>12677</Characters>
  <Application>Microsoft Office Word</Application>
  <DocSecurity>0</DocSecurity>
  <Lines>105</Lines>
  <Paragraphs>29</Paragraphs>
  <ScaleCrop>false</ScaleCrop>
  <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Scott Taylor</cp:lastModifiedBy>
  <cp:revision>3</cp:revision>
  <dcterms:created xsi:type="dcterms:W3CDTF">2023-08-04T14:01:00Z</dcterms:created>
  <dcterms:modified xsi:type="dcterms:W3CDTF">2023-08-04T14:18:00Z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2023-05-30T00:00:00Z</vt:filetime>
  </property>
  <property fmtid="{D5CDD505-2E9C-101B-9397-08002B2CF9AE}" pid="3" name="Creator">
    <vt:lpwstr>Microsoft® Word 2010</vt:lpwstr>
  </property>
  <property fmtid="{D5CDD505-2E9C-101B-9397-08002B2CF9AE}" pid="4" name="LastSaved">
    <vt:filetime>2023-08-04T00:00:00Z</vt:filetime>
  </property>
  <property fmtid="{D5CDD505-2E9C-101B-9397-08002B2CF9AE}" pid="5" name="Producer">
    <vt:lpwstr>Microsoft® Word 2010</vt:lpwstr>
  </property>
</Properties>
</file>